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A" w:rsidRPr="00517FFC" w:rsidRDefault="005E39EA" w:rsidP="005E39EA">
      <w:pPr>
        <w:spacing w:line="276" w:lineRule="auto"/>
        <w:jc w:val="center"/>
        <w:rPr>
          <w:b/>
        </w:rPr>
      </w:pPr>
      <w:r w:rsidRPr="00517FFC">
        <w:rPr>
          <w:b/>
        </w:rPr>
        <w:t>ХАНТЫ-МАНСИЙСКИЙ АВТОНОМНЫЙ ОКРУГ-ЮГРА</w:t>
      </w:r>
    </w:p>
    <w:p w:rsidR="005E39EA" w:rsidRPr="00517FFC" w:rsidRDefault="005E39EA" w:rsidP="005E39EA">
      <w:pPr>
        <w:pStyle w:val="1"/>
        <w:spacing w:line="276" w:lineRule="auto"/>
        <w:jc w:val="center"/>
        <w:rPr>
          <w:b/>
          <w:sz w:val="28"/>
          <w:szCs w:val="28"/>
        </w:rPr>
      </w:pPr>
      <w:r w:rsidRPr="00517FFC">
        <w:rPr>
          <w:b/>
          <w:sz w:val="28"/>
          <w:szCs w:val="28"/>
        </w:rPr>
        <w:t>ТЮМЕНСКАЯ ОБЛАСТЬ</w:t>
      </w:r>
    </w:p>
    <w:p w:rsidR="005E39EA" w:rsidRPr="00517FFC" w:rsidRDefault="005E39EA" w:rsidP="005E39EA">
      <w:pPr>
        <w:spacing w:line="276" w:lineRule="auto"/>
        <w:jc w:val="center"/>
        <w:rPr>
          <w:b/>
        </w:rPr>
      </w:pPr>
      <w:r w:rsidRPr="00517FFC">
        <w:rPr>
          <w:b/>
        </w:rPr>
        <w:t>ХАНТЫ-МАНСИЙСКИЙ РАЙОН</w:t>
      </w:r>
    </w:p>
    <w:p w:rsidR="005E39EA" w:rsidRPr="00517FFC" w:rsidRDefault="005E39EA" w:rsidP="005E39EA">
      <w:pPr>
        <w:spacing w:line="276" w:lineRule="auto"/>
        <w:jc w:val="center"/>
        <w:rPr>
          <w:b/>
        </w:rPr>
      </w:pPr>
    </w:p>
    <w:p w:rsidR="005E39EA" w:rsidRPr="00517FFC" w:rsidRDefault="005E39EA" w:rsidP="005E39EA">
      <w:pPr>
        <w:pStyle w:val="1"/>
        <w:tabs>
          <w:tab w:val="left" w:pos="2850"/>
          <w:tab w:val="center" w:pos="4678"/>
        </w:tabs>
        <w:spacing w:line="276" w:lineRule="auto"/>
        <w:jc w:val="center"/>
        <w:rPr>
          <w:b/>
          <w:sz w:val="28"/>
          <w:szCs w:val="28"/>
        </w:rPr>
      </w:pPr>
      <w:r w:rsidRPr="00517FFC">
        <w:rPr>
          <w:b/>
          <w:sz w:val="28"/>
          <w:szCs w:val="28"/>
        </w:rPr>
        <w:t>Д У М А</w:t>
      </w:r>
    </w:p>
    <w:p w:rsidR="005E39EA" w:rsidRPr="00517FFC" w:rsidRDefault="005E39EA" w:rsidP="005E39EA">
      <w:pPr>
        <w:tabs>
          <w:tab w:val="left" w:pos="6602"/>
        </w:tabs>
        <w:spacing w:line="276" w:lineRule="auto"/>
        <w:jc w:val="center"/>
        <w:rPr>
          <w:b/>
        </w:rPr>
      </w:pPr>
    </w:p>
    <w:p w:rsidR="005E39EA" w:rsidRPr="00517FFC" w:rsidRDefault="005E39EA" w:rsidP="005E39EA">
      <w:pPr>
        <w:spacing w:line="276" w:lineRule="auto"/>
        <w:jc w:val="center"/>
        <w:rPr>
          <w:b/>
        </w:rPr>
      </w:pPr>
      <w:proofErr w:type="gramStart"/>
      <w:r w:rsidRPr="00517FFC">
        <w:rPr>
          <w:b/>
        </w:rPr>
        <w:t>Р</w:t>
      </w:r>
      <w:proofErr w:type="gramEnd"/>
      <w:r w:rsidRPr="00517FFC">
        <w:rPr>
          <w:b/>
        </w:rPr>
        <w:t xml:space="preserve"> Е Ш Е Н И Е</w:t>
      </w:r>
    </w:p>
    <w:p w:rsidR="005E39EA" w:rsidRPr="00517FFC" w:rsidRDefault="005E39EA" w:rsidP="005E39EA">
      <w:pPr>
        <w:spacing w:line="276" w:lineRule="auto"/>
        <w:ind w:firstLine="720"/>
        <w:jc w:val="center"/>
        <w:rPr>
          <w:b/>
        </w:rPr>
      </w:pPr>
    </w:p>
    <w:p w:rsidR="005E39EA" w:rsidRPr="00517FFC" w:rsidRDefault="005C5253" w:rsidP="005E39EA">
      <w:pPr>
        <w:spacing w:line="276" w:lineRule="auto"/>
        <w:jc w:val="both"/>
      </w:pPr>
      <w:r>
        <w:t>29.03.</w:t>
      </w:r>
      <w:r w:rsidR="005E39EA" w:rsidRPr="00517FFC">
        <w:t>2013</w:t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>
        <w:tab/>
      </w:r>
      <w:r>
        <w:tab/>
      </w:r>
      <w:r>
        <w:tab/>
      </w:r>
      <w:r w:rsidR="005E39EA" w:rsidRPr="00517FFC">
        <w:t xml:space="preserve">№ </w:t>
      </w:r>
      <w:r w:rsidR="004D3267">
        <w:t>225</w:t>
      </w:r>
    </w:p>
    <w:p w:rsidR="005E39EA" w:rsidRPr="00517FFC" w:rsidRDefault="005E39EA" w:rsidP="005E39EA">
      <w:pPr>
        <w:spacing w:line="276" w:lineRule="auto"/>
        <w:jc w:val="both"/>
        <w:outlineLvl w:val="0"/>
        <w:rPr>
          <w:bCs/>
        </w:rPr>
      </w:pPr>
    </w:p>
    <w:p w:rsidR="009E2019" w:rsidRDefault="005E39EA" w:rsidP="00FC0080">
      <w:pPr>
        <w:tabs>
          <w:tab w:val="left" w:pos="4395"/>
        </w:tabs>
        <w:contextualSpacing/>
        <w:jc w:val="both"/>
      </w:pPr>
      <w:r w:rsidRPr="00517FFC">
        <w:t>О</w:t>
      </w:r>
      <w:r w:rsidR="009E2019">
        <w:t>б утверждении</w:t>
      </w:r>
      <w:r w:rsidR="005C5253">
        <w:t xml:space="preserve"> </w:t>
      </w:r>
      <w:proofErr w:type="gramStart"/>
      <w:r w:rsidRPr="00517FFC">
        <w:t>ежегодно</w:t>
      </w:r>
      <w:r w:rsidR="009E2019">
        <w:t>го</w:t>
      </w:r>
      <w:proofErr w:type="gramEnd"/>
      <w:r w:rsidR="005C5253">
        <w:t xml:space="preserve"> </w:t>
      </w:r>
    </w:p>
    <w:p w:rsidR="005C5253" w:rsidRDefault="005E39EA" w:rsidP="00FC0080">
      <w:pPr>
        <w:tabs>
          <w:tab w:val="left" w:pos="4395"/>
        </w:tabs>
        <w:contextualSpacing/>
        <w:jc w:val="both"/>
      </w:pPr>
      <w:r w:rsidRPr="00517FFC">
        <w:t>отчет</w:t>
      </w:r>
      <w:r w:rsidR="009E2019">
        <w:t>а</w:t>
      </w:r>
      <w:r w:rsidRPr="00517FFC">
        <w:t xml:space="preserve"> главы</w:t>
      </w:r>
      <w:r w:rsidR="009E2019">
        <w:t xml:space="preserve"> </w:t>
      </w:r>
      <w:r w:rsidRPr="00517FFC">
        <w:t xml:space="preserve">Ханты Мансийского </w:t>
      </w:r>
    </w:p>
    <w:p w:rsidR="005E39EA" w:rsidRPr="00517FFC" w:rsidRDefault="005E39EA" w:rsidP="00FC0080">
      <w:pPr>
        <w:tabs>
          <w:tab w:val="left" w:pos="4395"/>
        </w:tabs>
        <w:contextualSpacing/>
        <w:jc w:val="both"/>
      </w:pPr>
      <w:r w:rsidRPr="00517FFC">
        <w:t>района за 2012 год</w:t>
      </w:r>
    </w:p>
    <w:p w:rsidR="005E39EA" w:rsidRPr="00517FFC" w:rsidRDefault="005E39EA" w:rsidP="00FC0080">
      <w:pPr>
        <w:contextualSpacing/>
      </w:pPr>
    </w:p>
    <w:p w:rsidR="005E39EA" w:rsidRPr="00517FFC" w:rsidRDefault="005E39EA" w:rsidP="00FC0080">
      <w:pPr>
        <w:contextualSpacing/>
      </w:pPr>
    </w:p>
    <w:p w:rsidR="005E39EA" w:rsidRPr="00517FFC" w:rsidRDefault="005E39EA" w:rsidP="00FC0080">
      <w:pPr>
        <w:ind w:firstLine="851"/>
        <w:contextualSpacing/>
        <w:jc w:val="both"/>
      </w:pPr>
      <w:r w:rsidRPr="00517FFC">
        <w:t xml:space="preserve">В целях контроля за деятельностью органов местного </w:t>
      </w:r>
      <w:proofErr w:type="gramStart"/>
      <w:r w:rsidRPr="00517FFC">
        <w:t>самоуправ</w:t>
      </w:r>
      <w:r w:rsidR="009E2019">
        <w:t>-</w:t>
      </w:r>
      <w:r w:rsidRPr="00517FFC">
        <w:t>ления</w:t>
      </w:r>
      <w:proofErr w:type="gramEnd"/>
      <w:r w:rsidRPr="00517FFC">
        <w:t xml:space="preserve"> Ханты-Мансийского района, руководствуясь статьями 18, 50 Устава Ханты-Мансийского района</w:t>
      </w:r>
      <w:r w:rsidRPr="00517FFC">
        <w:rPr>
          <w:bCs/>
        </w:rPr>
        <w:t xml:space="preserve">, статьями 10-14 </w:t>
      </w:r>
      <w:r w:rsidRPr="00517FFC"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5E39EA" w:rsidRPr="00517FFC" w:rsidRDefault="005E39EA" w:rsidP="00FC0080">
      <w:pPr>
        <w:ind w:firstLine="763"/>
        <w:jc w:val="both"/>
        <w:outlineLvl w:val="0"/>
      </w:pPr>
    </w:p>
    <w:p w:rsidR="005E39EA" w:rsidRPr="00517FFC" w:rsidRDefault="005E39EA" w:rsidP="00FC0080">
      <w:pPr>
        <w:ind w:firstLine="763"/>
        <w:jc w:val="center"/>
        <w:outlineLvl w:val="0"/>
      </w:pPr>
      <w:r w:rsidRPr="00517FFC">
        <w:t>Дума Ханты-Мансийского района</w:t>
      </w:r>
    </w:p>
    <w:p w:rsidR="005E39EA" w:rsidRPr="00517FFC" w:rsidRDefault="005E39EA" w:rsidP="00FC0080">
      <w:pPr>
        <w:jc w:val="both"/>
        <w:outlineLvl w:val="0"/>
      </w:pPr>
    </w:p>
    <w:p w:rsidR="005E39EA" w:rsidRPr="00517FFC" w:rsidRDefault="005E39EA" w:rsidP="00FC0080">
      <w:pPr>
        <w:jc w:val="center"/>
        <w:outlineLvl w:val="0"/>
        <w:rPr>
          <w:b/>
        </w:rPr>
      </w:pPr>
      <w:r w:rsidRPr="00517FFC">
        <w:rPr>
          <w:b/>
        </w:rPr>
        <w:t>РЕШИЛА:</w:t>
      </w:r>
    </w:p>
    <w:p w:rsidR="005E39EA" w:rsidRPr="00517FFC" w:rsidRDefault="005E39EA" w:rsidP="00FC0080">
      <w:pPr>
        <w:jc w:val="center"/>
        <w:outlineLvl w:val="0"/>
        <w:rPr>
          <w:b/>
        </w:rPr>
      </w:pPr>
    </w:p>
    <w:p w:rsidR="005E39EA" w:rsidRPr="00517FFC" w:rsidRDefault="005E39EA" w:rsidP="00FC0080">
      <w:pPr>
        <w:ind w:firstLine="851"/>
        <w:contextualSpacing/>
        <w:jc w:val="both"/>
      </w:pPr>
      <w:r w:rsidRPr="00517FFC">
        <w:t>1. Утвердить ежегодный отчет главы Ханты-Мансийского района за 2012 год согласно приложению к настоящему решению.</w:t>
      </w:r>
    </w:p>
    <w:p w:rsidR="005E39EA" w:rsidRPr="00517FFC" w:rsidRDefault="005E39EA" w:rsidP="00FC0080">
      <w:pPr>
        <w:ind w:firstLine="851"/>
        <w:contextualSpacing/>
        <w:jc w:val="both"/>
      </w:pPr>
      <w:r w:rsidRPr="00517FFC">
        <w:t xml:space="preserve">2. Признать </w:t>
      </w:r>
      <w:r w:rsidRPr="00517FFC">
        <w:rPr>
          <w:lang w:eastAsia="ru-RU"/>
        </w:rPr>
        <w:t>деятельность главы Ханты-Мансийского района за 2012 год удовлетворительной.</w:t>
      </w:r>
    </w:p>
    <w:p w:rsidR="005E39EA" w:rsidRPr="00517FFC" w:rsidRDefault="005E39EA" w:rsidP="00FC0080">
      <w:pPr>
        <w:ind w:firstLine="851"/>
        <w:contextualSpacing/>
        <w:jc w:val="both"/>
      </w:pPr>
      <w:r w:rsidRPr="00517FFC">
        <w:t>3. Настоящее решение вступает в силу с момента его подписания и подлежит официальному опубликованию (обнародованию).</w:t>
      </w:r>
    </w:p>
    <w:p w:rsidR="005E39EA" w:rsidRPr="00517FFC" w:rsidRDefault="005E39EA" w:rsidP="00FC0080">
      <w:pPr>
        <w:contextualSpacing/>
        <w:jc w:val="both"/>
      </w:pPr>
    </w:p>
    <w:p w:rsidR="005E39EA" w:rsidRPr="00517FFC" w:rsidRDefault="005E39EA" w:rsidP="00FC0080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517FFC" w:rsidRDefault="005E39EA" w:rsidP="00FC0080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517FFC">
        <w:rPr>
          <w:bCs/>
          <w:sz w:val="28"/>
          <w:szCs w:val="28"/>
        </w:rPr>
        <w:t xml:space="preserve">Глава </w:t>
      </w:r>
    </w:p>
    <w:p w:rsidR="005E39EA" w:rsidRDefault="005E39EA" w:rsidP="00FC0080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517FFC">
        <w:rPr>
          <w:bCs/>
          <w:sz w:val="28"/>
          <w:szCs w:val="28"/>
        </w:rPr>
        <w:t xml:space="preserve">Ханты-Мансийского района                                                  </w:t>
      </w:r>
      <w:r>
        <w:rPr>
          <w:bCs/>
          <w:sz w:val="28"/>
          <w:szCs w:val="28"/>
        </w:rPr>
        <w:t xml:space="preserve">       </w:t>
      </w:r>
      <w:r w:rsidRPr="00517FFC">
        <w:rPr>
          <w:bCs/>
          <w:sz w:val="28"/>
          <w:szCs w:val="28"/>
        </w:rPr>
        <w:t xml:space="preserve">  П.Н. Захаров</w:t>
      </w:r>
    </w:p>
    <w:p w:rsidR="005C5253" w:rsidRDefault="005C5253" w:rsidP="00FC0080">
      <w:pPr>
        <w:pStyle w:val="2"/>
        <w:ind w:left="0"/>
        <w:jc w:val="both"/>
        <w:outlineLvl w:val="0"/>
        <w:rPr>
          <w:bCs/>
          <w:sz w:val="28"/>
          <w:szCs w:val="28"/>
        </w:rPr>
      </w:pPr>
    </w:p>
    <w:p w:rsidR="005C5253" w:rsidRPr="00517FFC" w:rsidRDefault="004D3267" w:rsidP="00FC0080">
      <w:pPr>
        <w:pStyle w:val="2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02.04.</w:t>
      </w:r>
      <w:r w:rsidR="005C5253">
        <w:rPr>
          <w:bCs/>
          <w:sz w:val="28"/>
          <w:szCs w:val="28"/>
        </w:rPr>
        <w:t>2013</w:t>
      </w:r>
    </w:p>
    <w:p w:rsidR="005E39EA" w:rsidRPr="00517FFC" w:rsidRDefault="005E39EA" w:rsidP="005E39EA">
      <w:pPr>
        <w:spacing w:line="276" w:lineRule="auto"/>
        <w:jc w:val="both"/>
      </w:pPr>
    </w:p>
    <w:p w:rsidR="005E39EA" w:rsidRPr="00517FFC" w:rsidRDefault="005E39EA" w:rsidP="005E39EA">
      <w:pPr>
        <w:spacing w:line="276" w:lineRule="auto"/>
        <w:jc w:val="center"/>
        <w:sectPr w:rsidR="005E39EA" w:rsidRPr="00517FFC" w:rsidSect="00B37E4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E39EA" w:rsidRPr="00517FFC" w:rsidRDefault="005E39EA" w:rsidP="00FC0080">
      <w:pPr>
        <w:jc w:val="right"/>
      </w:pPr>
      <w:r w:rsidRPr="00517FFC">
        <w:lastRenderedPageBreak/>
        <w:t>Приложение</w:t>
      </w:r>
    </w:p>
    <w:p w:rsidR="005E39EA" w:rsidRPr="00517FFC" w:rsidRDefault="005E39EA" w:rsidP="00FC0080">
      <w:pPr>
        <w:jc w:val="right"/>
      </w:pPr>
      <w:r w:rsidRPr="00517FFC">
        <w:t xml:space="preserve">к </w:t>
      </w:r>
      <w:r w:rsidR="005C5253">
        <w:t>решению</w:t>
      </w:r>
      <w:r w:rsidRPr="00517FFC">
        <w:t xml:space="preserve"> Думы</w:t>
      </w:r>
    </w:p>
    <w:p w:rsidR="005E39EA" w:rsidRPr="00517FFC" w:rsidRDefault="005E39EA" w:rsidP="00FC0080">
      <w:pPr>
        <w:jc w:val="right"/>
      </w:pPr>
      <w:r w:rsidRPr="00517FFC">
        <w:t>Ханты-Мансийского района</w:t>
      </w:r>
    </w:p>
    <w:p w:rsidR="005E39EA" w:rsidRPr="00517FFC" w:rsidRDefault="005E39EA" w:rsidP="00FC0080">
      <w:pPr>
        <w:jc w:val="right"/>
      </w:pPr>
      <w:r w:rsidRPr="00517FFC">
        <w:t xml:space="preserve">от </w:t>
      </w:r>
      <w:r w:rsidR="005C5253">
        <w:t>29.03.</w:t>
      </w:r>
      <w:r w:rsidRPr="00517FFC">
        <w:t xml:space="preserve">2013 № </w:t>
      </w:r>
      <w:r w:rsidR="004D3267">
        <w:t>225</w:t>
      </w:r>
      <w:bookmarkStart w:id="0" w:name="_GoBack"/>
      <w:bookmarkEnd w:id="0"/>
    </w:p>
    <w:p w:rsidR="005E39EA" w:rsidRPr="00517FFC" w:rsidRDefault="005E39EA" w:rsidP="00FC0080">
      <w:pPr>
        <w:jc w:val="center"/>
        <w:rPr>
          <w:bCs/>
          <w:lang w:eastAsia="ru-RU"/>
        </w:rPr>
      </w:pPr>
    </w:p>
    <w:p w:rsidR="005E39EA" w:rsidRPr="00517FFC" w:rsidRDefault="005E39EA" w:rsidP="00FC0080">
      <w:pPr>
        <w:jc w:val="center"/>
        <w:rPr>
          <w:b/>
          <w:color w:val="000000" w:themeColor="text1"/>
          <w:lang w:eastAsia="ru-RU"/>
        </w:rPr>
      </w:pPr>
      <w:r w:rsidRPr="00517FFC">
        <w:rPr>
          <w:b/>
        </w:rPr>
        <w:t>Ежегодный отчет главы Ханты Мансийского района за 2012 год</w:t>
      </w:r>
    </w:p>
    <w:p w:rsidR="005E39EA" w:rsidRPr="00517FFC" w:rsidRDefault="005E39EA" w:rsidP="00FC0080">
      <w:pPr>
        <w:jc w:val="center"/>
        <w:rPr>
          <w:bCs/>
          <w:lang w:eastAsia="ru-RU"/>
        </w:rPr>
      </w:pPr>
    </w:p>
    <w:p w:rsidR="005E39EA" w:rsidRPr="00517FFC" w:rsidRDefault="005E39EA" w:rsidP="00FC0080">
      <w:pPr>
        <w:ind w:firstLine="567"/>
        <w:jc w:val="both"/>
      </w:pPr>
      <w:r w:rsidRPr="00517FF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части 2 статьи 50 </w:t>
      </w:r>
      <w:r>
        <w:t>У</w:t>
      </w:r>
      <w:r w:rsidRPr="00517FFC">
        <w:t>става Ханты-Мансийского района представляется отчет главы района о результатах его деятельности и решении вопросов, поставленных Думой района, за 2012 год (далее – отчет главы района).</w:t>
      </w:r>
    </w:p>
    <w:p w:rsidR="005E39EA" w:rsidRPr="00517FFC" w:rsidRDefault="005E39EA" w:rsidP="00FC0080">
      <w:pPr>
        <w:ind w:firstLine="567"/>
        <w:jc w:val="both"/>
      </w:pPr>
      <w:r w:rsidRPr="00517FFC">
        <w:t>Ежегодный отчет главы района представляет собой итоговую информацию о результатах деятельности главы района за прошедший календарный год, в соответствии с полномочиями, установленными действующим законодательством Российской Федерации, в том числе о решении вопросов, поставленных Думой района. Объем п</w:t>
      </w:r>
      <w:r>
        <w:t>олномочий определен статьей 24 У</w:t>
      </w:r>
      <w:r w:rsidRPr="00517FFC">
        <w:t xml:space="preserve">става </w:t>
      </w:r>
      <w:r w:rsidR="00C31850">
        <w:t xml:space="preserve">Ханты-Мансийского </w:t>
      </w:r>
      <w:r w:rsidRPr="00517FFC">
        <w:t xml:space="preserve">района. </w:t>
      </w:r>
    </w:p>
    <w:p w:rsidR="005E39EA" w:rsidRPr="00517FFC" w:rsidRDefault="005E39EA" w:rsidP="00FC008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bookmarkStart w:id="1" w:name="_Toc291700038"/>
      <w:bookmarkStart w:id="2" w:name="_Toc291699583"/>
      <w:bookmarkStart w:id="3" w:name="_Toc291698718"/>
      <w:bookmarkStart w:id="4" w:name="_Toc289007772"/>
      <w:r w:rsidRPr="00517FFC">
        <w:rPr>
          <w:color w:val="000000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Функционирование системы местного самоуправления призвано обеспечить самостоятельное решение населением непосредственно и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bookmarkEnd w:id="1"/>
      <w:bookmarkEnd w:id="2"/>
      <w:bookmarkEnd w:id="3"/>
      <w:bookmarkEnd w:id="4"/>
    </w:p>
    <w:p w:rsidR="005E39EA" w:rsidRPr="00517FFC" w:rsidRDefault="005E39EA" w:rsidP="00FC0080">
      <w:pPr>
        <w:pStyle w:val="ConsPlusTitle"/>
        <w:jc w:val="center"/>
        <w:rPr>
          <w:b w:val="0"/>
        </w:rPr>
      </w:pPr>
    </w:p>
    <w:p w:rsidR="005E39EA" w:rsidRPr="00517FFC" w:rsidRDefault="005E39EA" w:rsidP="00FC0080">
      <w:pPr>
        <w:pStyle w:val="ConsPlusTitle"/>
        <w:ind w:firstLine="567"/>
        <w:jc w:val="both"/>
      </w:pPr>
      <w:r w:rsidRPr="00517FFC">
        <w:t>Представительские функции главы Ханты-Мансийского района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17FFC">
        <w:t>Согласно полномочиям, установленным статьёй 24 Устава Ханты-Мансийского района, как высшее должностное лицо муниципального образования глава района в течени</w:t>
      </w:r>
      <w:r>
        <w:t>е</w:t>
      </w:r>
      <w:r w:rsidRPr="00517FFC">
        <w:t xml:space="preserve"> 2012 года представлял Ханты-Мансийский район, принимая участие в заседаниях совещательных органов Думы Ханты-Мансийского автономного округа и совещательных органах, созданных при Губернаторе Ханты-Мансийского автономного округа – Югры.</w:t>
      </w:r>
      <w:proofErr w:type="gramEnd"/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t>Глава Ханты-Мансийского района принимал участие в заседаниях: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t>- Думы Ханты-Мансийского автономного округа;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t>-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созыва;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t>- Совета при Губернаторе Ханты-Мансийского автономного округа – Югры по развитию местного самоуправления;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t>- Совета при Губернаторе Ханты-Мансийского автономного округа – Югры по развитию информационного общества.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lastRenderedPageBreak/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  <w:r w:rsidRPr="00517FFC">
        <w:t>Принятые решения коллегиальных органов направлялись в органы местного самоуправления для организации их исполнения и проведения мониторинга ситуации по выполнению данных решений.</w:t>
      </w:r>
    </w:p>
    <w:p w:rsidR="005E39EA" w:rsidRPr="00517FFC" w:rsidRDefault="005E39EA" w:rsidP="00FC0080">
      <w:pPr>
        <w:ind w:firstLine="567"/>
        <w:jc w:val="both"/>
        <w:rPr>
          <w:color w:val="000000" w:themeColor="text1"/>
        </w:rPr>
      </w:pPr>
      <w:r w:rsidRPr="00517FFC">
        <w:rPr>
          <w:color w:val="000000" w:themeColor="text1"/>
        </w:rPr>
        <w:t xml:space="preserve">На уровне заместителей </w:t>
      </w:r>
      <w:r>
        <w:rPr>
          <w:color w:val="000000" w:themeColor="text1"/>
        </w:rPr>
        <w:t>Г</w:t>
      </w:r>
      <w:r w:rsidRPr="00517FFC">
        <w:rPr>
          <w:color w:val="000000" w:themeColor="text1"/>
        </w:rPr>
        <w:t xml:space="preserve">убернатора </w:t>
      </w:r>
      <w:r>
        <w:rPr>
          <w:color w:val="000000" w:themeColor="text1"/>
        </w:rPr>
        <w:t>Югры</w:t>
      </w:r>
      <w:r w:rsidRPr="00517FFC">
        <w:rPr>
          <w:color w:val="000000" w:themeColor="text1"/>
        </w:rPr>
        <w:t xml:space="preserve"> были инициированы и проводились совещания по решению жизненно важных вопросов социального экономического развития района:</w:t>
      </w:r>
    </w:p>
    <w:p w:rsidR="005E39EA" w:rsidRPr="00517FFC" w:rsidRDefault="005E39EA" w:rsidP="00FC00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color w:val="000000" w:themeColor="text1"/>
        </w:rPr>
        <w:t xml:space="preserve">организации реализации механизмов государственно-частного партнёрства на территории района для строительства социальных объектов, как результат определены механизмы финансирования объектов </w:t>
      </w:r>
      <w:r>
        <w:rPr>
          <w:color w:val="000000" w:themeColor="text1"/>
        </w:rPr>
        <w:t>детского сада</w:t>
      </w:r>
      <w:r w:rsidRPr="00517FFC">
        <w:rPr>
          <w:color w:val="000000" w:themeColor="text1"/>
        </w:rPr>
        <w:t xml:space="preserve"> </w:t>
      </w:r>
      <w:proofErr w:type="spellStart"/>
      <w:r w:rsidRPr="00517FFC">
        <w:rPr>
          <w:color w:val="000000" w:themeColor="text1"/>
        </w:rPr>
        <w:t>Горноправдинск</w:t>
      </w:r>
      <w:proofErr w:type="spellEnd"/>
      <w:r w:rsidRPr="00517FFC">
        <w:rPr>
          <w:color w:val="000000" w:themeColor="text1"/>
        </w:rPr>
        <w:t xml:space="preserve">, школы-сада в </w:t>
      </w:r>
      <w:r>
        <w:rPr>
          <w:color w:val="000000" w:themeColor="text1"/>
        </w:rPr>
        <w:t>д</w:t>
      </w:r>
      <w:r w:rsidRPr="00517FFC">
        <w:rPr>
          <w:color w:val="000000" w:themeColor="text1"/>
        </w:rPr>
        <w:t xml:space="preserve">. </w:t>
      </w:r>
      <w:proofErr w:type="spellStart"/>
      <w:r w:rsidRPr="00517FFC">
        <w:rPr>
          <w:color w:val="000000" w:themeColor="text1"/>
        </w:rPr>
        <w:t>Согом</w:t>
      </w:r>
      <w:proofErr w:type="spellEnd"/>
      <w:r w:rsidRPr="00517FFC">
        <w:rPr>
          <w:color w:val="000000" w:themeColor="text1"/>
        </w:rPr>
        <w:t>;</w:t>
      </w:r>
    </w:p>
    <w:p w:rsidR="005E39EA" w:rsidRPr="00517FFC" w:rsidRDefault="005E39EA" w:rsidP="00FC00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по выделению денежных средств на укрепление материально-технической базы учреждений, осуществляющих развитие физической культуры и спорта;</w:t>
      </w:r>
    </w:p>
    <w:p w:rsidR="005E39EA" w:rsidRPr="00517FFC" w:rsidRDefault="005E39EA" w:rsidP="00FC00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по выделению дополнительных сре</w:t>
      </w:r>
      <w:proofErr w:type="gramStart"/>
      <w:r w:rsidRPr="00517FFC">
        <w:rPr>
          <w:rFonts w:eastAsia="Times New Roman"/>
          <w:lang w:eastAsia="ru-RU"/>
        </w:rPr>
        <w:t>дств дл</w:t>
      </w:r>
      <w:proofErr w:type="gramEnd"/>
      <w:r w:rsidRPr="00517FFC">
        <w:rPr>
          <w:rFonts w:eastAsia="Times New Roman"/>
          <w:lang w:eastAsia="ru-RU"/>
        </w:rPr>
        <w:t>я развития агропромышленного сектора экономики и малого предпринимательства в районе.</w:t>
      </w:r>
    </w:p>
    <w:p w:rsidR="005E39EA" w:rsidRPr="00517FFC" w:rsidRDefault="005E39EA" w:rsidP="00FC0080">
      <w:pPr>
        <w:tabs>
          <w:tab w:val="left" w:pos="993"/>
        </w:tabs>
        <w:jc w:val="both"/>
        <w:rPr>
          <w:rFonts w:eastAsia="Times New Roman"/>
          <w:lang w:eastAsia="ru-RU"/>
        </w:rPr>
      </w:pPr>
    </w:p>
    <w:p w:rsidR="005E39EA" w:rsidRPr="00517FFC" w:rsidRDefault="005E39EA" w:rsidP="00FC0080">
      <w:pPr>
        <w:ind w:firstLine="567"/>
        <w:jc w:val="both"/>
      </w:pPr>
      <w:r w:rsidRPr="00517FFC">
        <w:t>В 2012 году были проведены ряд встреч с депутатами:</w:t>
      </w:r>
    </w:p>
    <w:p w:rsidR="005E39EA" w:rsidRPr="00517FFC" w:rsidRDefault="005E39EA" w:rsidP="00FC0080">
      <w:pPr>
        <w:ind w:firstLine="567"/>
        <w:jc w:val="both"/>
      </w:pPr>
      <w:r w:rsidRPr="00517FFC">
        <w:t xml:space="preserve">Государственной Думы Российской Федерации </w:t>
      </w:r>
      <w:proofErr w:type="gramStart"/>
      <w:r w:rsidRPr="00517FFC">
        <w:t>Завальным</w:t>
      </w:r>
      <w:proofErr w:type="gramEnd"/>
      <w:r w:rsidRPr="00517FFC">
        <w:t xml:space="preserve"> П.Н.;</w:t>
      </w:r>
    </w:p>
    <w:p w:rsidR="005E39EA" w:rsidRPr="00517FFC" w:rsidRDefault="005E39EA" w:rsidP="00FC0080">
      <w:pPr>
        <w:ind w:firstLine="567"/>
        <w:jc w:val="both"/>
        <w:rPr>
          <w:rFonts w:eastAsia="Times New Roman"/>
          <w:lang w:eastAsia="ru-RU"/>
        </w:rPr>
      </w:pPr>
      <w:r w:rsidRPr="00517FFC">
        <w:t xml:space="preserve">Депутатами Думы Ханты-Мансийского автономного округа – Югры: </w:t>
      </w:r>
      <w:hyperlink r:id="rId7" w:history="1">
        <w:r w:rsidRPr="00517FFC">
          <w:rPr>
            <w:rFonts w:eastAsia="Times New Roman"/>
            <w:bCs/>
            <w:lang w:eastAsia="ru-RU"/>
          </w:rPr>
          <w:t>Алексеевой Н.Г.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8" w:history="1">
        <w:r w:rsidRPr="00517FFC">
          <w:rPr>
            <w:rFonts w:eastAsia="Times New Roman"/>
            <w:bCs/>
            <w:lang w:eastAsia="ru-RU"/>
          </w:rPr>
          <w:t>Андреевым А.В.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9" w:history="1">
        <w:proofErr w:type="spellStart"/>
        <w:r w:rsidRPr="00517FFC">
          <w:rPr>
            <w:rFonts w:eastAsia="Times New Roman"/>
            <w:bCs/>
            <w:lang w:eastAsia="ru-RU"/>
          </w:rPr>
          <w:t>Гоголевой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Т.С.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0" w:history="1">
        <w:r w:rsidRPr="00517FFC">
          <w:rPr>
            <w:rFonts w:eastAsia="Times New Roman"/>
            <w:bCs/>
            <w:lang w:eastAsia="ru-RU"/>
          </w:rPr>
          <w:t>Дегтярёвым С.Ю.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1" w:history="1">
        <w:proofErr w:type="spellStart"/>
        <w:r w:rsidRPr="00517FFC">
          <w:rPr>
            <w:rFonts w:eastAsia="Times New Roman"/>
            <w:bCs/>
            <w:lang w:eastAsia="ru-RU"/>
          </w:rPr>
          <w:t>Западновой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Н.Л.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2" w:history="1">
        <w:proofErr w:type="spellStart"/>
        <w:r w:rsidRPr="00517FFC">
          <w:rPr>
            <w:rFonts w:eastAsia="Times New Roman"/>
            <w:bCs/>
            <w:lang w:eastAsia="ru-RU"/>
          </w:rPr>
          <w:t>Мизгулиным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Д.А.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3" w:history="1">
        <w:proofErr w:type="spellStart"/>
        <w:r w:rsidRPr="00517FFC">
          <w:rPr>
            <w:rFonts w:eastAsia="Times New Roman"/>
            <w:bCs/>
            <w:lang w:eastAsia="ru-RU"/>
          </w:rPr>
          <w:t>Сондыковым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В.С.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4" w:history="1">
        <w:r w:rsidRPr="00517FFC">
          <w:rPr>
            <w:rFonts w:eastAsia="Times New Roman"/>
            <w:bCs/>
            <w:lang w:eastAsia="ru-RU"/>
          </w:rPr>
          <w:t>Хохряковым Б.С.</w:t>
        </w:r>
      </w:hyperlink>
      <w:r w:rsidRPr="00517FFC">
        <w:rPr>
          <w:rFonts w:eastAsia="Times New Roman"/>
          <w:lang w:eastAsia="ru-RU"/>
        </w:rPr>
        <w:t>;</w:t>
      </w:r>
    </w:p>
    <w:p w:rsidR="005E39EA" w:rsidRPr="00517FFC" w:rsidRDefault="005E39EA" w:rsidP="00FC0080">
      <w:pPr>
        <w:ind w:firstLine="567"/>
        <w:jc w:val="both"/>
      </w:pPr>
      <w:r w:rsidRPr="00517FFC">
        <w:t xml:space="preserve">Депутатами Тюменской областной Думы: </w:t>
      </w:r>
      <w:hyperlink r:id="rId15" w:history="1">
        <w:r w:rsidRPr="00517FFC">
          <w:rPr>
            <w:rStyle w:val="a6"/>
            <w:color w:val="auto"/>
            <w:u w:val="none"/>
          </w:rPr>
          <w:t>Козловым С.С.</w:t>
        </w:r>
      </w:hyperlink>
      <w:r w:rsidRPr="00517FFC">
        <w:t xml:space="preserve">, </w:t>
      </w:r>
      <w:hyperlink r:id="rId16" w:history="1">
        <w:proofErr w:type="spellStart"/>
        <w:r w:rsidRPr="00517FFC">
          <w:rPr>
            <w:rStyle w:val="a6"/>
            <w:color w:val="auto"/>
            <w:u w:val="none"/>
          </w:rPr>
          <w:t>Корепановым</w:t>
        </w:r>
        <w:proofErr w:type="spellEnd"/>
        <w:r w:rsidRPr="00517FFC">
          <w:rPr>
            <w:rStyle w:val="a6"/>
            <w:color w:val="auto"/>
            <w:u w:val="none"/>
          </w:rPr>
          <w:t> Г.С.</w:t>
        </w:r>
      </w:hyperlink>
    </w:p>
    <w:p w:rsidR="005E39EA" w:rsidRPr="00517FFC" w:rsidRDefault="005E39EA" w:rsidP="00FC0080">
      <w:pPr>
        <w:ind w:firstLine="567"/>
        <w:jc w:val="both"/>
      </w:pPr>
      <w:r w:rsidRPr="00517FFC">
        <w:t xml:space="preserve">В ходе встреч и выездов в населённые пункты </w:t>
      </w:r>
      <w:r>
        <w:t xml:space="preserve">района </w:t>
      </w:r>
      <w:r w:rsidRPr="00517FFC">
        <w:t xml:space="preserve">обсуждались проблемные вопросы территории, перспективы социально-экономического развития района. Из депутатских фондов </w:t>
      </w:r>
      <w:r>
        <w:t xml:space="preserve">Тюменской областной Думы и Думы Югры </w:t>
      </w:r>
      <w:r w:rsidRPr="00517FFC">
        <w:t>в 2012 году было выделено более 9 млн. рублей. Денежные средства направл</w:t>
      </w:r>
      <w:r>
        <w:t xml:space="preserve">ены на приобретение автомобилей, игрушек, инвентаря </w:t>
      </w:r>
      <w:r w:rsidRPr="00517FFC">
        <w:t>для образовательных учреждений, поддержку талантливой молодёжи.</w:t>
      </w:r>
    </w:p>
    <w:p w:rsidR="005E39EA" w:rsidRPr="00517FFC" w:rsidRDefault="005E39EA" w:rsidP="00FC0080">
      <w:pPr>
        <w:ind w:firstLine="567"/>
        <w:jc w:val="both"/>
        <w:rPr>
          <w:bCs/>
        </w:rPr>
      </w:pPr>
      <w:r w:rsidRPr="00517FFC">
        <w:t xml:space="preserve">Совместно с Ассоциацией «Совет муниципальных образований Ханты-Мансийского автономного округа – Югры» 05.07.2012 организовано и проведено совещание с участием депутатов представительного органа, глав поселений, руководителей администрации района по обсуждению проекта Стратегии </w:t>
      </w:r>
      <w:r w:rsidRPr="00517FFC">
        <w:rPr>
          <w:bCs/>
        </w:rPr>
        <w:t xml:space="preserve">социально-экономического развития Ханты-Мансийского автономного округа </w:t>
      </w:r>
      <w:r w:rsidRPr="00517FFC">
        <w:t>–</w:t>
      </w:r>
      <w:r w:rsidRPr="00517FFC">
        <w:rPr>
          <w:bCs/>
        </w:rPr>
        <w:t xml:space="preserve"> Югры до 2020 года и на период 2030 года</w:t>
      </w:r>
      <w:r>
        <w:rPr>
          <w:bCs/>
        </w:rPr>
        <w:t>, по итогам предложения направлены Правительству Югры.</w:t>
      </w:r>
    </w:p>
    <w:p w:rsidR="005E39EA" w:rsidRPr="00517FFC" w:rsidRDefault="005E39EA" w:rsidP="00FC0080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517FFC">
        <w:rPr>
          <w:rFonts w:eastAsia="Times New Roman"/>
          <w:lang w:eastAsia="ru-RU"/>
        </w:rPr>
        <w:t xml:space="preserve">В целях развития межмуниципального сотрудничества в организации исполнения полномочий по решению вопросов местного значения, выражения или защиты общих интересов, создания правовых и организационных основ для совместной деятельности 16.03.2012 заключено соглашение с муниципальным образованием </w:t>
      </w:r>
      <w:proofErr w:type="spellStart"/>
      <w:r w:rsidRPr="00517FFC">
        <w:rPr>
          <w:rFonts w:eastAsia="Times New Roman"/>
          <w:lang w:eastAsia="ru-RU"/>
        </w:rPr>
        <w:t>Кондинский</w:t>
      </w:r>
      <w:proofErr w:type="spellEnd"/>
      <w:r w:rsidRPr="00517FFC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,</w:t>
      </w:r>
      <w:r w:rsidRPr="00517FFC">
        <w:rPr>
          <w:rFonts w:eastAsia="Times New Roman"/>
          <w:lang w:eastAsia="ru-RU"/>
        </w:rPr>
        <w:t xml:space="preserve"> в рамках </w:t>
      </w:r>
      <w:r w:rsidRPr="00517FFC">
        <w:rPr>
          <w:rFonts w:eastAsia="Times New Roman"/>
          <w:lang w:eastAsia="ru-RU"/>
        </w:rPr>
        <w:lastRenderedPageBreak/>
        <w:t>которого было проведено 3 совместных совещания по обсуждению существующих проблем и обмену опытом по их решению.</w:t>
      </w:r>
      <w:proofErr w:type="gramEnd"/>
      <w:r w:rsidRPr="00517FFC">
        <w:rPr>
          <w:rFonts w:eastAsia="Times New Roman"/>
          <w:lang w:eastAsia="ru-RU"/>
        </w:rPr>
        <w:t xml:space="preserve"> </w:t>
      </w:r>
      <w:proofErr w:type="gramStart"/>
      <w:r w:rsidRPr="00517FFC">
        <w:rPr>
          <w:rFonts w:eastAsia="Times New Roman"/>
          <w:lang w:eastAsia="ru-RU"/>
        </w:rPr>
        <w:t xml:space="preserve">Есть намерения и уже проведены переговоры по заключению аналогичных соглашений с Белоярским, Октябрьским, </w:t>
      </w:r>
      <w:proofErr w:type="spellStart"/>
      <w:r w:rsidRPr="00517FFC">
        <w:rPr>
          <w:rFonts w:eastAsia="Times New Roman"/>
          <w:lang w:eastAsia="ru-RU"/>
        </w:rPr>
        <w:t>Нижневартовским</w:t>
      </w:r>
      <w:proofErr w:type="spellEnd"/>
      <w:r w:rsidRPr="00517FFC">
        <w:rPr>
          <w:rFonts w:eastAsia="Times New Roman"/>
          <w:lang w:eastAsia="ru-RU"/>
        </w:rPr>
        <w:t xml:space="preserve"> районами.</w:t>
      </w:r>
      <w:proofErr w:type="gramEnd"/>
    </w:p>
    <w:p w:rsidR="005E39EA" w:rsidRPr="00517FFC" w:rsidRDefault="005E39EA" w:rsidP="00FC0080">
      <w:pPr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ab/>
        <w:t xml:space="preserve">В 2012 году проводились приёмы делегаций республики Словакия, муниципального образования Домбаровский район Оренбургской области, муниципальных образований Мурманской области </w:t>
      </w:r>
      <w:proofErr w:type="spellStart"/>
      <w:r w:rsidRPr="00517FFC">
        <w:rPr>
          <w:rFonts w:eastAsia="Times New Roman"/>
          <w:lang w:eastAsia="ru-RU"/>
        </w:rPr>
        <w:t>г</w:t>
      </w:r>
      <w:proofErr w:type="gramStart"/>
      <w:r w:rsidRPr="00517FFC">
        <w:rPr>
          <w:rFonts w:eastAsia="Times New Roman"/>
          <w:lang w:eastAsia="ru-RU"/>
        </w:rPr>
        <w:t>.А</w:t>
      </w:r>
      <w:proofErr w:type="gramEnd"/>
      <w:r w:rsidRPr="00517FFC">
        <w:rPr>
          <w:rFonts w:eastAsia="Times New Roman"/>
          <w:lang w:eastAsia="ru-RU"/>
        </w:rPr>
        <w:t>патиты</w:t>
      </w:r>
      <w:proofErr w:type="spellEnd"/>
      <w:r w:rsidRPr="00517FFC">
        <w:rPr>
          <w:rFonts w:eastAsia="Times New Roman"/>
          <w:lang w:eastAsia="ru-RU"/>
        </w:rPr>
        <w:t xml:space="preserve"> и </w:t>
      </w:r>
      <w:proofErr w:type="spellStart"/>
      <w:r w:rsidRPr="00517FFC">
        <w:rPr>
          <w:rFonts w:eastAsia="Times New Roman"/>
          <w:lang w:eastAsia="ru-RU"/>
        </w:rPr>
        <w:t>г.Кирова</w:t>
      </w:r>
      <w:proofErr w:type="spellEnd"/>
      <w:r w:rsidRPr="00517FFC">
        <w:rPr>
          <w:rFonts w:eastAsia="Times New Roman"/>
          <w:lang w:eastAsia="ru-RU"/>
        </w:rPr>
        <w:t xml:space="preserve">. </w:t>
      </w:r>
    </w:p>
    <w:p w:rsidR="005E39EA" w:rsidRPr="00517FFC" w:rsidRDefault="005E39EA" w:rsidP="00FC0080">
      <w:pPr>
        <w:ind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 xml:space="preserve">В составе официальной делегации Ханты-Мансийского автономного округа – Югры глава района выезжал в Республику Словакия, где между предпринимателем Словакии и главой крестьянского (фермерского) хозяйства </w:t>
      </w:r>
      <w:r>
        <w:rPr>
          <w:rFonts w:eastAsia="Times New Roman"/>
          <w:lang w:eastAsia="ru-RU"/>
        </w:rPr>
        <w:t xml:space="preserve">района </w:t>
      </w:r>
      <w:r w:rsidRPr="00517FFC">
        <w:rPr>
          <w:rFonts w:eastAsia="Times New Roman"/>
          <w:lang w:eastAsia="ru-RU"/>
        </w:rPr>
        <w:t>Марчук Н.И. был подписан протокол о намерениях сотрудничества.</w:t>
      </w:r>
    </w:p>
    <w:p w:rsidR="005E39EA" w:rsidRPr="00517FFC" w:rsidRDefault="005E39EA" w:rsidP="00FC0080">
      <w:pPr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ab/>
        <w:t xml:space="preserve">В рамках взаимодействия с нефтяными компаниями, осуществляющими свою деятельность на территории района, были проведены встречи с руководством компаний </w:t>
      </w:r>
      <w:r w:rsidRPr="00517FFC">
        <w:t>ООО «РН-</w:t>
      </w:r>
      <w:proofErr w:type="spellStart"/>
      <w:r w:rsidRPr="00517FFC">
        <w:t>Юганскнефтегаз</w:t>
      </w:r>
      <w:proofErr w:type="spellEnd"/>
      <w:r w:rsidRPr="00517FFC">
        <w:t>», ОАО «</w:t>
      </w:r>
      <w:proofErr w:type="spellStart"/>
      <w:r w:rsidRPr="00517FFC">
        <w:t>Газпромнефть</w:t>
      </w:r>
      <w:proofErr w:type="spellEnd"/>
      <w:r w:rsidRPr="00517FFC">
        <w:t>», ТНК-</w:t>
      </w:r>
      <w:proofErr w:type="spellStart"/>
      <w:r w:rsidRPr="00517FFC">
        <w:t>Нягань</w:t>
      </w:r>
      <w:proofErr w:type="spellEnd"/>
      <w:r w:rsidRPr="00517FFC">
        <w:rPr>
          <w:rFonts w:eastAsia="Times New Roman"/>
          <w:lang w:eastAsia="ru-RU"/>
        </w:rPr>
        <w:t>, ООО «НАК АКИ-ОТЫР», ООО «</w:t>
      </w:r>
      <w:proofErr w:type="spellStart"/>
      <w:r w:rsidRPr="00517FFC">
        <w:rPr>
          <w:rFonts w:eastAsia="Times New Roman"/>
          <w:lang w:eastAsia="ru-RU"/>
        </w:rPr>
        <w:t>Лукоил</w:t>
      </w:r>
      <w:proofErr w:type="spellEnd"/>
      <w:r w:rsidRPr="00517FFC">
        <w:rPr>
          <w:rFonts w:eastAsia="Times New Roman"/>
          <w:lang w:eastAsia="ru-RU"/>
        </w:rPr>
        <w:t>-Западная Сибирь» и др.</w:t>
      </w:r>
      <w:r>
        <w:rPr>
          <w:rFonts w:eastAsia="Times New Roman"/>
          <w:lang w:eastAsia="ru-RU"/>
        </w:rPr>
        <w:t>,</w:t>
      </w:r>
      <w:r w:rsidRPr="00517FFC">
        <w:rPr>
          <w:rFonts w:eastAsia="Times New Roman"/>
          <w:lang w:eastAsia="ru-RU"/>
        </w:rPr>
        <w:t xml:space="preserve"> в том числе для подписания соглашений о сотрудничестве. В соответствии с соглашениями в бюджет района дополнительно привлечено средств на сумму 263,66 млн. рублей.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</w:pP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517FFC">
        <w:t xml:space="preserve">Работа по </w:t>
      </w:r>
      <w:r w:rsidRPr="00517FFC">
        <w:rPr>
          <w:rFonts w:eastAsia="Times New Roman"/>
          <w:b/>
          <w:lang w:eastAsia="ru-RU"/>
        </w:rPr>
        <w:t>обеспечению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</w:t>
      </w:r>
      <w:r w:rsidRPr="00517FFC">
        <w:rPr>
          <w:rFonts w:eastAsia="Times New Roman"/>
          <w:lang w:eastAsia="ru-RU"/>
        </w:rPr>
        <w:t xml:space="preserve"> основывалась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517FFC">
        <w:rPr>
          <w:rFonts w:eastAsia="Times New Roman"/>
          <w:b/>
          <w:lang w:eastAsia="ru-RU"/>
        </w:rPr>
        <w:t>Взаимодействие с администрацией района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С января по июнь 2012 года практиковалось проведение аппаратных совещаний с главой администрации и его заместителями. Всего было проведено 20 таких совещаний, по результатам которых было дано 165 поручений. В связи с организацией селекторных совещаний с главами сельских поселений и организацией проведения совещаний по проблемам сельских поселений, было принято решение аппаратные совещания с главой администрации и его заместителями не проводить.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В практику работы вошли такие формы работы, как участие заместителя главы района и заместителя председателя Думы района в работе совещательных органов администрации Ханты-Мансийского района. Заместитель председателя Думы района участвует в аппаратных совещаниях, проводимых главой администрации Ханты-Мансийского района.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FC">
        <w:rPr>
          <w:rFonts w:ascii="Times New Roman" w:hAnsi="Times New Roman" w:cs="Times New Roman"/>
          <w:b/>
          <w:sz w:val="28"/>
          <w:szCs w:val="28"/>
        </w:rPr>
        <w:t>Взаимодействие с сельскими поселениями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517FFC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Глав муниципальных образований Ханты-Мансийского района. В 2012 году </w:t>
      </w:r>
      <w:r w:rsidRPr="00517FFC">
        <w:rPr>
          <w:rFonts w:ascii="Times New Roman" w:hAnsi="Times New Roman" w:cs="Times New Roman"/>
          <w:sz w:val="28"/>
          <w:szCs w:val="28"/>
        </w:rPr>
        <w:lastRenderedPageBreak/>
        <w:t>проведено и запротоколировано 4 заседания</w:t>
      </w:r>
      <w:r w:rsidRPr="00517FFC">
        <w:rPr>
          <w:rFonts w:ascii="Times New Roman" w:hAnsi="Times New Roman" w:cs="Times New Roman"/>
          <w:b/>
          <w:sz w:val="28"/>
          <w:szCs w:val="28"/>
        </w:rPr>
        <w:t>.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139 поручения, исполнено 74, оставлено на контроле 65.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 xml:space="preserve">В течение 2012 года было проведено 8 совещаний по проблемным вопросам сельских поселений </w:t>
      </w:r>
      <w:proofErr w:type="spellStart"/>
      <w:r w:rsidRPr="00517FF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1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FF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1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FF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51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FF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17F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7FFC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517FFC">
        <w:rPr>
          <w:rFonts w:ascii="Times New Roman" w:hAnsi="Times New Roman" w:cs="Times New Roman"/>
          <w:sz w:val="28"/>
          <w:szCs w:val="28"/>
        </w:rPr>
        <w:t xml:space="preserve">. По результатам совещаний было дано 152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Pr="00517FFC">
        <w:rPr>
          <w:rFonts w:ascii="Times New Roman" w:hAnsi="Times New Roman" w:cs="Times New Roman"/>
          <w:sz w:val="28"/>
          <w:szCs w:val="28"/>
        </w:rPr>
        <w:t>, исполнено 84, оставлено на контроле 68. На таких совещаниях проводится анализ существующих проблем поселения, определяются способ их решения и исполнители. В 2013 году практика проведения таких совещаний будет продолжена.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proofErr w:type="gramStart"/>
      <w:r w:rsidRPr="00517FFC">
        <w:rPr>
          <w:rFonts w:eastAsia="Times New Roman"/>
          <w:lang w:eastAsia="ru-RU"/>
        </w:rPr>
        <w:t>Начиная с октября 2012 года еженедельно при главе района проводятся селекторные совещания</w:t>
      </w:r>
      <w:proofErr w:type="gramEnd"/>
      <w:r w:rsidRPr="00517FFC">
        <w:rPr>
          <w:rFonts w:eastAsia="Times New Roman"/>
          <w:lang w:eastAsia="ru-RU"/>
        </w:rPr>
        <w:t xml:space="preserve"> с главами сельских поселений. В 2012 году было проведено 10 совещаний. Селекторные совещания позволяют обеспечить </w:t>
      </w:r>
      <w:proofErr w:type="gramStart"/>
      <w:r w:rsidRPr="00517FFC">
        <w:rPr>
          <w:rFonts w:eastAsia="Times New Roman"/>
          <w:lang w:eastAsia="ru-RU"/>
        </w:rPr>
        <w:t>контроль за</w:t>
      </w:r>
      <w:proofErr w:type="gramEnd"/>
      <w:r w:rsidRPr="00517FFC">
        <w:rPr>
          <w:rFonts w:eastAsia="Times New Roman"/>
          <w:lang w:eastAsia="ru-RU"/>
        </w:rPr>
        <w:t xml:space="preserve"> ситуацией в целом по району, информировать глав сельских поселений об изменениях в законодательстве, эффективно решать проблемные вопросы, требующие оперативного вмешательства. В работе селекторных совещаний принимают участие работники прокуратуры, органов внутренних дел, налоговой инспекции, территориальной избирательной комиссии и др., что позволяет обеспечить более эффективное взаимодействие этих органов с сельскими поселениями района.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 xml:space="preserve">В целом при главе Ханты-Мансийского района организована работа 6-и Советов: 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1) Совет Глав муниципальных образований Ханты-Мансийского района;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2) Межведомственный Совет по противодействию коррупции;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3) </w:t>
      </w:r>
      <w:r w:rsidRPr="00517FFC">
        <w:rPr>
          <w:rFonts w:ascii="Times New Roman" w:eastAsia="Calibri" w:hAnsi="Times New Roman" w:cs="Times New Roman"/>
          <w:sz w:val="28"/>
          <w:szCs w:val="28"/>
        </w:rPr>
        <w:t>Совет руководителей сельскохозяйственных предприятий, крестьянских (фермерских) хозяйств;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4) Совет руководителей национальных общин и предприятий;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5) Совет по развитию малого и среднего предпринимательства Ханты-Мансийского района;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6) Общественный Совет.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 xml:space="preserve">Всего в 2012 году 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7FFC">
        <w:rPr>
          <w:rFonts w:ascii="Times New Roman" w:hAnsi="Times New Roman" w:cs="Times New Roman"/>
          <w:sz w:val="28"/>
          <w:szCs w:val="28"/>
        </w:rPr>
        <w:t xml:space="preserve"> заседаний Советов.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В 2012 году проведено два отраслевых совещания с главами сельских поселений и ОАО «ЮТЭК – Региональные сети» по обслуживанию сетей уличного освещения в сельских поселениях Ханты-Мансийского района на 2012-2013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517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9EA" w:rsidRPr="00517FFC" w:rsidRDefault="005E39EA" w:rsidP="00FC0080">
      <w:pPr>
        <w:ind w:firstLine="540"/>
        <w:jc w:val="both"/>
      </w:pPr>
      <w:r w:rsidRPr="00517FFC">
        <w:rPr>
          <w:rFonts w:eastAsia="Times New Roman"/>
          <w:lang w:eastAsia="ru-RU"/>
        </w:rPr>
        <w:t xml:space="preserve">В целях создания условий и координации работы по </w:t>
      </w:r>
      <w:r w:rsidRPr="00517FFC">
        <w:rPr>
          <w:rFonts w:eastAsia="Times New Roman"/>
          <w:b/>
          <w:lang w:eastAsia="ru-RU"/>
        </w:rPr>
        <w:t>взаимодействию органов местного самоуправления с населением, общественными объединениями и организациями</w:t>
      </w:r>
      <w:r w:rsidRPr="00517FFC">
        <w:rPr>
          <w:rFonts w:eastAsia="Times New Roman"/>
          <w:lang w:eastAsia="ru-RU"/>
        </w:rPr>
        <w:t xml:space="preserve"> в 2012 году</w:t>
      </w:r>
      <w:r w:rsidRPr="00517FFC">
        <w:t xml:space="preserve"> был образован Общественный Совет при главе Ханты-Мансийского района. В его состав вошли представители общественных организаций, почётные жители района, проведено два заседания Совета.</w:t>
      </w:r>
    </w:p>
    <w:p w:rsidR="005E39EA" w:rsidRPr="00517FFC" w:rsidRDefault="005E39EA" w:rsidP="00FC0080">
      <w:pPr>
        <w:ind w:firstLine="540"/>
        <w:jc w:val="both"/>
        <w:rPr>
          <w:rFonts w:eastAsia="Calibri"/>
        </w:rPr>
      </w:pPr>
      <w:proofErr w:type="gramStart"/>
      <w:r w:rsidRPr="00517FFC">
        <w:t xml:space="preserve">Общественный </w:t>
      </w:r>
      <w:r w:rsidRPr="00517FFC">
        <w:rPr>
          <w:rFonts w:eastAsia="Calibri"/>
        </w:rPr>
        <w:t xml:space="preserve">Совет при главе района является консультативно-совещательным органом, созданным для обеспечения взаимодействия главы района и администрации Ханты-Мансийского района (далее - органы местного самоуправления района) с гражданами района, общественными </w:t>
      </w:r>
      <w:r w:rsidRPr="00517FFC">
        <w:rPr>
          <w:rFonts w:eastAsia="Calibri"/>
        </w:rPr>
        <w:lastRenderedPageBreak/>
        <w:t xml:space="preserve">объединениями и иными некоммерческими организациями, осуществляющими деятельность на территории Ханты-Мансийского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 </w:t>
      </w:r>
      <w:proofErr w:type="gramEnd"/>
    </w:p>
    <w:p w:rsidR="005E39EA" w:rsidRPr="00517FFC" w:rsidRDefault="005E39EA" w:rsidP="00FC0080">
      <w:pPr>
        <w:ind w:firstLine="567"/>
        <w:jc w:val="both"/>
      </w:pPr>
      <w:r w:rsidRPr="00517FFC">
        <w:t xml:space="preserve">На заседании Общественного совета с представителями общественных организаций обсуждался проект программы «Поддержка социально ориентированных негосударственных некоммерческих организаций </w:t>
      </w:r>
      <w:proofErr w:type="gramStart"/>
      <w:r w:rsidRPr="00517FFC">
        <w:t>в</w:t>
      </w:r>
      <w:proofErr w:type="gramEnd"/>
      <w:r w:rsidRPr="00517FFC">
        <w:t xml:space="preserve"> </w:t>
      </w:r>
      <w:proofErr w:type="gramStart"/>
      <w:r w:rsidRPr="00517FFC">
        <w:t>Ханты-Мансийском</w:t>
      </w:r>
      <w:proofErr w:type="gramEnd"/>
      <w:r w:rsidRPr="00517FFC">
        <w:t xml:space="preserve"> районе на 2013-2015 годы». По результатам обсуждений участниками были внесены предложения, которые учтены при принятии программы. Программа утверждена в четвёртом квартале 2012 года. </w:t>
      </w:r>
    </w:p>
    <w:p w:rsidR="005E39EA" w:rsidRPr="00517FFC" w:rsidRDefault="005E39EA" w:rsidP="00FC0080">
      <w:pPr>
        <w:ind w:firstLine="567"/>
        <w:jc w:val="both"/>
      </w:pPr>
      <w:r w:rsidRPr="00517FFC">
        <w:t xml:space="preserve">Общественным организациям оказывалась методическая помощь в оформлении документов и написании проектов программ, которые </w:t>
      </w:r>
      <w:r>
        <w:t xml:space="preserve">позволили </w:t>
      </w:r>
      <w:r w:rsidRPr="00517FFC">
        <w:t>им участвовать в окружных конкурсах</w:t>
      </w:r>
      <w:r>
        <w:t xml:space="preserve"> и привлечь в текущем году денежные средства окружного бюджета. </w:t>
      </w:r>
      <w:proofErr w:type="gramStart"/>
      <w:r>
        <w:t>Р</w:t>
      </w:r>
      <w:r w:rsidRPr="00517FFC">
        <w:t xml:space="preserve">елигиозная общественная организация посёлка </w:t>
      </w:r>
      <w:proofErr w:type="spellStart"/>
      <w:r w:rsidRPr="00517FFC">
        <w:t>Горноправдинск</w:t>
      </w:r>
      <w:proofErr w:type="spellEnd"/>
      <w:r w:rsidRPr="00517FFC">
        <w:t xml:space="preserve"> приняла участие в </w:t>
      </w:r>
      <w:r>
        <w:t>2</w:t>
      </w:r>
      <w:r w:rsidRPr="00517FFC">
        <w:t xml:space="preserve"> окружных конкурсах «Признание» и «Социальная звезда» с социальном проектом «Благая весть».</w:t>
      </w:r>
      <w:proofErr w:type="gramEnd"/>
      <w:r w:rsidRPr="00517FFC">
        <w:t xml:space="preserve"> Получила грант за 3 место, диплом участника конкурса и финансовую поддержку в сумме 200 тыс. рублей.</w:t>
      </w:r>
    </w:p>
    <w:p w:rsidR="005E39EA" w:rsidRPr="00517FFC" w:rsidRDefault="005E39EA" w:rsidP="00FC0080">
      <w:pPr>
        <w:ind w:firstLine="567"/>
        <w:jc w:val="both"/>
      </w:pPr>
      <w:r w:rsidRPr="00517FFC">
        <w:t>В настоящее время продолжается работа над новыми социальными проектами, которые смогут быть реализованы в 2013 году.</w:t>
      </w:r>
    </w:p>
    <w:p w:rsidR="005E39EA" w:rsidRPr="00517FFC" w:rsidRDefault="005E39EA" w:rsidP="00FC0080">
      <w:pPr>
        <w:ind w:firstLine="567"/>
        <w:jc w:val="both"/>
      </w:pPr>
      <w:r w:rsidRPr="00517FFC">
        <w:t xml:space="preserve">Совместно с общественными организациями района проводились социально значимые мероприятия - это паломнические поездки, встречи с ветеранами, организация крещения, рождественские каникулы. Оказано содействие в проведение газового отопления </w:t>
      </w:r>
      <w:proofErr w:type="gramStart"/>
      <w:r w:rsidRPr="00517FFC">
        <w:t>в</w:t>
      </w:r>
      <w:proofErr w:type="gramEnd"/>
      <w:r w:rsidRPr="00517FFC">
        <w:t xml:space="preserve"> </w:t>
      </w:r>
      <w:proofErr w:type="gramStart"/>
      <w:r w:rsidRPr="00517FFC">
        <w:t>молебном</w:t>
      </w:r>
      <w:proofErr w:type="gramEnd"/>
      <w:r w:rsidRPr="00517FFC">
        <w:t xml:space="preserve"> доме посёлка </w:t>
      </w:r>
      <w:proofErr w:type="spellStart"/>
      <w:r w:rsidRPr="00517FFC">
        <w:t>Выкатной</w:t>
      </w:r>
      <w:proofErr w:type="spellEnd"/>
      <w:r w:rsidRPr="00517FFC">
        <w:t xml:space="preserve">. </w:t>
      </w:r>
    </w:p>
    <w:p w:rsidR="005E39EA" w:rsidRPr="00517FFC" w:rsidRDefault="005E39EA" w:rsidP="00FC00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FC">
        <w:rPr>
          <w:rFonts w:ascii="Times New Roman" w:hAnsi="Times New Roman" w:cs="Times New Roman"/>
          <w:sz w:val="28"/>
          <w:szCs w:val="28"/>
        </w:rPr>
        <w:t>Уже на протяжении ряда лет на территории района в период существования зимних автодорог в сельских поселениях района проводятся собрания (сходы) жителей населённых пунктов, где с отчётами (информацией) о проделанной работе перед населением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FFC">
        <w:rPr>
          <w:rFonts w:ascii="Times New Roman" w:hAnsi="Times New Roman" w:cs="Times New Roman"/>
          <w:sz w:val="28"/>
          <w:szCs w:val="28"/>
        </w:rPr>
        <w:t>т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7FF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7FFC">
        <w:rPr>
          <w:rFonts w:ascii="Times New Roman" w:hAnsi="Times New Roman" w:cs="Times New Roman"/>
          <w:sz w:val="28"/>
          <w:szCs w:val="28"/>
        </w:rPr>
        <w:t>, руководители бюджетных организаций и учреждений, расположенных на территории посёлков, глава администрации района и его заместители, депутаты районной думы и сельских советов, глава района.</w:t>
      </w:r>
      <w:proofErr w:type="gramEnd"/>
      <w:r w:rsidRPr="00517FFC">
        <w:rPr>
          <w:rFonts w:ascii="Times New Roman" w:hAnsi="Times New Roman" w:cs="Times New Roman"/>
          <w:sz w:val="28"/>
          <w:szCs w:val="28"/>
        </w:rPr>
        <w:t xml:space="preserve"> Во время сходов жители района получают достоверную информацию из первых уст, руководители слышат о проблемах непосредственно от населения, происходит сближение власти и народа. Всего в 2012 году проведено 26 </w:t>
      </w:r>
      <w:r>
        <w:rPr>
          <w:rFonts w:ascii="Times New Roman" w:hAnsi="Times New Roman" w:cs="Times New Roman"/>
          <w:sz w:val="28"/>
          <w:szCs w:val="28"/>
        </w:rPr>
        <w:t>общих собраний (</w:t>
      </w:r>
      <w:r w:rsidRPr="00517FFC">
        <w:rPr>
          <w:rFonts w:ascii="Times New Roman" w:hAnsi="Times New Roman" w:cs="Times New Roman"/>
          <w:sz w:val="28"/>
          <w:szCs w:val="28"/>
        </w:rPr>
        <w:t>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FFC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5E39EA" w:rsidRPr="00517FFC" w:rsidRDefault="005E39EA" w:rsidP="00FC008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517FFC">
        <w:rPr>
          <w:rFonts w:eastAsia="Times New Roman"/>
          <w:lang w:eastAsia="ru-RU"/>
        </w:rPr>
        <w:t xml:space="preserve">роведено </w:t>
      </w:r>
      <w:r>
        <w:rPr>
          <w:rFonts w:eastAsia="Times New Roman"/>
          <w:lang w:eastAsia="ru-RU"/>
        </w:rPr>
        <w:t>76 л</w:t>
      </w:r>
      <w:r w:rsidRPr="00517FFC">
        <w:rPr>
          <w:rFonts w:eastAsia="Times New Roman"/>
          <w:lang w:eastAsia="ru-RU"/>
        </w:rPr>
        <w:t>ичных приёмов граждан, в том числе и выездных.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В 2012 году наградами главы района поощрены 293 жителя района и работников администрации района и два коллектива.</w:t>
      </w:r>
    </w:p>
    <w:p w:rsidR="005E39EA" w:rsidRPr="00517FFC" w:rsidRDefault="005E39EA" w:rsidP="00FC0080">
      <w:pPr>
        <w:ind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 xml:space="preserve">От имени главы района внесено 9 ходатайств о награждении наградами Губернатора Ханты-Мансийского автономного округа – Югры </w:t>
      </w:r>
    </w:p>
    <w:p w:rsidR="005E39EA" w:rsidRPr="00517FFC" w:rsidRDefault="005E39EA" w:rsidP="00FC0080">
      <w:pPr>
        <w:ind w:firstLine="567"/>
      </w:pPr>
    </w:p>
    <w:p w:rsidR="005E39EA" w:rsidRPr="00517FFC" w:rsidRDefault="005E39EA" w:rsidP="00FC0080">
      <w:pPr>
        <w:ind w:firstLine="567"/>
        <w:rPr>
          <w:b/>
        </w:rPr>
      </w:pPr>
      <w:r w:rsidRPr="00517FFC">
        <w:rPr>
          <w:b/>
        </w:rPr>
        <w:t>Обращения граждан</w:t>
      </w:r>
    </w:p>
    <w:p w:rsidR="005E39EA" w:rsidRPr="00517FFC" w:rsidRDefault="005E39EA" w:rsidP="00FC0080">
      <w:pPr>
        <w:ind w:firstLine="567"/>
        <w:rPr>
          <w:rFonts w:eastAsia="Times New Roman"/>
          <w:lang w:eastAsia="ru-RU"/>
        </w:rPr>
      </w:pPr>
      <w:r w:rsidRPr="00517FFC">
        <w:lastRenderedPageBreak/>
        <w:t xml:space="preserve">В адрес главы Ханты-Мансийского района принято и зарегистрировано 161 обращение граждан. 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40"/>
        <w:jc w:val="both"/>
      </w:pPr>
      <w:r w:rsidRPr="00517FFC">
        <w:t>Самыми актуальными в обращениях граждан были вопросы: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40"/>
        <w:jc w:val="both"/>
      </w:pPr>
      <w:r w:rsidRPr="00517FFC">
        <w:t>оказание материальной помощи – 38 обращений;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40"/>
        <w:jc w:val="both"/>
      </w:pPr>
      <w:r w:rsidRPr="00517FFC">
        <w:t>жилищные вопросы – 28 обращений;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жилищно-коммунальные</w:t>
      </w:r>
      <w:proofErr w:type="gramEnd"/>
      <w:r w:rsidRPr="00517FFC">
        <w:t xml:space="preserve"> – 17 обращений;</w:t>
      </w: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поддержка малого бизнеса (АПК) </w:t>
      </w:r>
      <w:r w:rsidRPr="00517FFC">
        <w:t>– 13 обращений.</w:t>
      </w:r>
    </w:p>
    <w:p w:rsidR="005E39EA" w:rsidRPr="00517FFC" w:rsidRDefault="005E39EA" w:rsidP="00FC0080">
      <w:pPr>
        <w:ind w:firstLine="567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Организован и действует телефон горячей линии.</w:t>
      </w:r>
    </w:p>
    <w:p w:rsidR="005E39EA" w:rsidRDefault="005E39EA" w:rsidP="00FC0080">
      <w:pPr>
        <w:ind w:firstLine="567"/>
        <w:rPr>
          <w:rFonts w:eastAsia="Times New Roman"/>
          <w:b/>
          <w:lang w:eastAsia="ru-RU"/>
        </w:rPr>
      </w:pPr>
    </w:p>
    <w:p w:rsidR="005E39EA" w:rsidRPr="00517FFC" w:rsidRDefault="005E39EA" w:rsidP="00FC0080">
      <w:pPr>
        <w:ind w:firstLine="567"/>
        <w:rPr>
          <w:rFonts w:eastAsia="Times New Roman"/>
          <w:b/>
          <w:lang w:eastAsia="ru-RU"/>
        </w:rPr>
      </w:pPr>
    </w:p>
    <w:p w:rsidR="005E39EA" w:rsidRPr="00517FFC" w:rsidRDefault="005E39EA" w:rsidP="00FC0080">
      <w:pPr>
        <w:ind w:firstLine="567"/>
        <w:rPr>
          <w:rFonts w:eastAsia="Times New Roman"/>
          <w:b/>
          <w:lang w:eastAsia="ru-RU"/>
        </w:rPr>
      </w:pPr>
      <w:r w:rsidRPr="00517FFC">
        <w:rPr>
          <w:rFonts w:eastAsia="Times New Roman"/>
          <w:b/>
          <w:lang w:eastAsia="ru-RU"/>
        </w:rPr>
        <w:t>Нормотворческая деятельность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В 2012 году принято 149 муниципальных правовых актов главы района, из них: распоряжений – 67, постановлений – 82. Среди основных регламентирующих документов были разработаны и приняты: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рассмотрения обращений граждан, поступающих в адрес главы </w:t>
      </w:r>
      <w:r w:rsidRPr="00517FF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района; 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FC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проектов и действующих муниципальных нормативных правовых актов главы  Ханты-Мансийского района;</w:t>
      </w:r>
      <w:r w:rsidRP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Pr="00517FFC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муниципальных служащих органов местного самоуправления муниципального образования</w:t>
      </w:r>
      <w:proofErr w:type="gramEnd"/>
      <w:r w:rsidRPr="00517FFC">
        <w:rPr>
          <w:rFonts w:ascii="Times New Roman" w:hAnsi="Times New Roman" w:cs="Times New Roman"/>
          <w:sz w:val="28"/>
          <w:szCs w:val="28"/>
        </w:rPr>
        <w:t xml:space="preserve"> Ханты-Мансийский район и другие.</w:t>
      </w:r>
    </w:p>
    <w:p w:rsidR="005E39EA" w:rsidRPr="00517FFC" w:rsidRDefault="005E39EA" w:rsidP="00FC00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Принято 5 постановлений о назначении публичных слушаний.</w:t>
      </w:r>
    </w:p>
    <w:p w:rsidR="005E39EA" w:rsidRPr="00517FFC" w:rsidRDefault="005E39EA" w:rsidP="00FC0080">
      <w:pPr>
        <w:ind w:firstLine="540"/>
        <w:jc w:val="both"/>
      </w:pPr>
      <w:r w:rsidRPr="00517FFC">
        <w:t>За 2012 год главой Ханты-Мансийского района обеспечено направление в территориальный орган уполномоченного федерального органа исполнительной власти в сфере регистрации уставов муниципальных образований 6 решений Думы Ханты-Мансийского района, связанных с внесением изменений и дополнений в Устав Ханты-Мансийского района, с приложением документов, установленных федеральным законодательством.</w:t>
      </w:r>
    </w:p>
    <w:p w:rsidR="005E39EA" w:rsidRPr="00517FFC" w:rsidRDefault="005E39EA" w:rsidP="00FC0080">
      <w:pPr>
        <w:ind w:firstLine="540"/>
        <w:jc w:val="both"/>
      </w:pPr>
      <w:r w:rsidRPr="00517FFC">
        <w:t xml:space="preserve">В течение 2012 года главой Ханты-Мансийского района обеспечено направление сведений, подлежащих включению в регистр муниципальных нормативных правовых актов </w:t>
      </w:r>
      <w:r>
        <w:t>Югры</w:t>
      </w:r>
      <w:r w:rsidRPr="00517FFC">
        <w:t xml:space="preserve">, в уполномоченный государственный орган </w:t>
      </w:r>
      <w:r>
        <w:t>Югры</w:t>
      </w:r>
      <w:r w:rsidRPr="00517FFC">
        <w:t>.</w:t>
      </w:r>
    </w:p>
    <w:p w:rsidR="005E39EA" w:rsidRPr="00517FFC" w:rsidRDefault="005E39EA" w:rsidP="00FC0080">
      <w:pPr>
        <w:rPr>
          <w:rFonts w:eastAsia="Times New Roman"/>
          <w:lang w:eastAsia="ru-RU"/>
        </w:rPr>
      </w:pPr>
    </w:p>
    <w:p w:rsidR="005E39EA" w:rsidRPr="00517FFC" w:rsidRDefault="005E39EA" w:rsidP="00FC008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17FFC">
        <w:rPr>
          <w:b/>
        </w:rPr>
        <w:t>Информационная политика</w:t>
      </w:r>
    </w:p>
    <w:p w:rsidR="005E39EA" w:rsidRPr="00517FFC" w:rsidRDefault="005E39EA" w:rsidP="00FC0080">
      <w:pPr>
        <w:shd w:val="clear" w:color="auto" w:fill="FFFFFF"/>
        <w:ind w:firstLine="567"/>
        <w:jc w:val="both"/>
        <w:rPr>
          <w:rFonts w:eastAsia="Times New Roman"/>
          <w:color w:val="052635"/>
          <w:lang w:eastAsia="ru-RU"/>
        </w:rPr>
      </w:pPr>
      <w:proofErr w:type="gramStart"/>
      <w:r w:rsidRPr="00517FFC">
        <w:t xml:space="preserve">Информационная политика осуществлялась в соответствии с Федеральным </w:t>
      </w:r>
      <w:hyperlink r:id="rId17" w:history="1">
        <w:r w:rsidRPr="00517FFC">
          <w:t>законом</w:t>
        </w:r>
      </w:hyperlink>
      <w:r w:rsidRPr="00517FFC"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8" w:history="1">
        <w:r w:rsidRPr="00517FFC">
          <w:t>законом</w:t>
        </w:r>
      </w:hyperlink>
      <w:r w:rsidRPr="00517FFC">
        <w:t xml:space="preserve"> РФ от 27.12.1991 «О средствах массовой информации», действующим законодательством Ханты-Мансийского автономного округа - Югры и Уставом Ханты-Мансийского района, в соответствии с которым г</w:t>
      </w:r>
      <w:r w:rsidRPr="00517FFC">
        <w:rPr>
          <w:rFonts w:eastAsia="Times New Roman"/>
          <w:color w:val="052635"/>
          <w:lang w:eastAsia="ru-RU"/>
        </w:rPr>
        <w:t xml:space="preserve">лава района в рамках своих полномочий организует работу по </w:t>
      </w:r>
      <w:r w:rsidRPr="00517FFC">
        <w:rPr>
          <w:rFonts w:eastAsia="Times New Roman"/>
          <w:b/>
          <w:color w:val="052635"/>
          <w:lang w:eastAsia="ru-RU"/>
        </w:rPr>
        <w:t>информационному сопровождению</w:t>
      </w:r>
      <w:proofErr w:type="gramEnd"/>
      <w:r w:rsidRPr="00517FFC">
        <w:rPr>
          <w:rFonts w:eastAsia="Times New Roman"/>
          <w:b/>
          <w:color w:val="052635"/>
          <w:lang w:eastAsia="ru-RU"/>
        </w:rPr>
        <w:t xml:space="preserve"> своей деятельности, а так</w:t>
      </w:r>
      <w:r>
        <w:rPr>
          <w:rFonts w:eastAsia="Times New Roman"/>
          <w:b/>
          <w:color w:val="052635"/>
          <w:lang w:eastAsia="ru-RU"/>
        </w:rPr>
        <w:t xml:space="preserve"> </w:t>
      </w:r>
      <w:r w:rsidRPr="00517FFC">
        <w:rPr>
          <w:rFonts w:eastAsia="Times New Roman"/>
          <w:b/>
          <w:color w:val="052635"/>
          <w:lang w:eastAsia="ru-RU"/>
        </w:rPr>
        <w:t>же информирует население Ханты-Мансийского района о своей деятельности</w:t>
      </w:r>
      <w:r w:rsidRPr="00517FFC">
        <w:rPr>
          <w:rFonts w:eastAsia="Times New Roman"/>
          <w:color w:val="052635"/>
          <w:lang w:eastAsia="ru-RU"/>
        </w:rPr>
        <w:t>.</w:t>
      </w:r>
    </w:p>
    <w:p w:rsidR="005E39EA" w:rsidRPr="00517FFC" w:rsidRDefault="005E39EA" w:rsidP="00FC0080">
      <w:pPr>
        <w:shd w:val="clear" w:color="auto" w:fill="FFFFFF"/>
        <w:ind w:firstLine="567"/>
        <w:jc w:val="both"/>
        <w:rPr>
          <w:rFonts w:eastAsia="Times New Roman"/>
          <w:color w:val="052635"/>
          <w:lang w:eastAsia="ru-RU"/>
        </w:rPr>
      </w:pPr>
      <w:r w:rsidRPr="00517FFC">
        <w:rPr>
          <w:rFonts w:eastAsia="Times New Roman"/>
          <w:color w:val="052635"/>
          <w:lang w:eastAsia="ru-RU"/>
        </w:rPr>
        <w:lastRenderedPageBreak/>
        <w:t xml:space="preserve">Информационное сопровождение и информирование населения о деятельности главы осуществляется через пресс-службу главы района. </w:t>
      </w:r>
      <w:proofErr w:type="gramStart"/>
      <w:r w:rsidRPr="00517FFC">
        <w:rPr>
          <w:rFonts w:eastAsia="Times New Roman"/>
          <w:color w:val="052635"/>
          <w:lang w:eastAsia="ru-RU"/>
        </w:rPr>
        <w:t xml:space="preserve">В свою очередь пресс-секретарь главы района осуществляет взаимодействие со средствами массовой информации федерального, окружного и местного уровня, наполняет информационным контентом сайт администрации Ханты-Мансийского района, официальные интернет-аккаунты района в социальных сетях, взаимодействует с пресс-службами и отделами по связям с общественностью органов власти, общественных организаций и бизнес-структур, организует и проводит пресс-конференции, брифинги, пресс-туры и иные форматы работы с прессой. </w:t>
      </w:r>
      <w:proofErr w:type="gramEnd"/>
    </w:p>
    <w:p w:rsidR="005E39EA" w:rsidRPr="00517FFC" w:rsidRDefault="005E39EA" w:rsidP="00FC0080">
      <w:pPr>
        <w:shd w:val="clear" w:color="auto" w:fill="FFFFFF"/>
        <w:ind w:firstLine="567"/>
        <w:jc w:val="both"/>
      </w:pPr>
      <w:r w:rsidRPr="00517FFC">
        <w:t xml:space="preserve">Согласно составленной </w:t>
      </w:r>
      <w:r w:rsidR="00F81B7A" w:rsidRPr="00517FFC">
        <w:t>медиа карте</w:t>
      </w:r>
      <w:r w:rsidRPr="00517FFC">
        <w:t>, пресс-службой главы района производится ежедневная рассылка пресс-релизов и анонсирующих материалов в электронные и печатные средства массовой информации (основными являются - окружные информагентства РИЦ «Югра» и «Югра-</w:t>
      </w:r>
      <w:proofErr w:type="spellStart"/>
      <w:r w:rsidRPr="00517FFC">
        <w:t>Информ</w:t>
      </w:r>
      <w:proofErr w:type="spellEnd"/>
      <w:r w:rsidRPr="00517FFC">
        <w:t>», телекомпании «Югра» и «</w:t>
      </w:r>
      <w:proofErr w:type="spellStart"/>
      <w:r w:rsidRPr="00517FFC">
        <w:t>Югория</w:t>
      </w:r>
      <w:proofErr w:type="spellEnd"/>
      <w:r w:rsidRPr="00517FFC">
        <w:t>», радио «Югра», газеты «Новости Югры» и «Наш район»). Кроме того информация размещается в разделе муниципальных образований единого официального сайта государственных органов (</w:t>
      </w:r>
      <w:proofErr w:type="spellStart"/>
      <w:r w:rsidRPr="00517FFC">
        <w:rPr>
          <w:lang w:val="en-US"/>
        </w:rPr>
        <w:t>admhmao</w:t>
      </w:r>
      <w:proofErr w:type="spellEnd"/>
      <w:r w:rsidRPr="00517FFC">
        <w:t>.</w:t>
      </w:r>
      <w:proofErr w:type="spellStart"/>
      <w:r w:rsidRPr="00517FFC">
        <w:rPr>
          <w:lang w:val="en-US"/>
        </w:rPr>
        <w:t>ru</w:t>
      </w:r>
      <w:proofErr w:type="spellEnd"/>
      <w:r w:rsidRPr="00517FFC">
        <w:t>).</w:t>
      </w:r>
    </w:p>
    <w:p w:rsidR="005E39EA" w:rsidRPr="00517FFC" w:rsidRDefault="005E39EA" w:rsidP="00FC0080">
      <w:pPr>
        <w:shd w:val="clear" w:color="auto" w:fill="FFFFFF"/>
        <w:ind w:firstLine="567"/>
        <w:jc w:val="both"/>
      </w:pPr>
      <w:r w:rsidRPr="00517FFC">
        <w:t>Основным средством информирования населения  Ханты-Мансийского района, несмотря на активно действующий официальный сайт и размещение информации на Интернет-ресурсах, по-прежнему остается газета «Наш район». Это обусловлено техническими проблемами, низкой доступность высокоскоростного интернета в населённых пунктах района.</w:t>
      </w:r>
    </w:p>
    <w:p w:rsidR="005E39EA" w:rsidRPr="00517FFC" w:rsidRDefault="005E39EA" w:rsidP="00FC0080">
      <w:pPr>
        <w:ind w:firstLine="567"/>
        <w:jc w:val="both"/>
      </w:pPr>
      <w:r w:rsidRPr="00517FFC">
        <w:t>В целях информирования населения нормативные правовые акты главы района размещаются в информационной системе "Консультант +", а также на официальном сайте органов местного самоуправления района в сети Интернет.</w:t>
      </w:r>
    </w:p>
    <w:p w:rsidR="005E39EA" w:rsidRPr="00517FFC" w:rsidRDefault="005E39EA" w:rsidP="00FC0080"/>
    <w:p w:rsidR="005E39EA" w:rsidRPr="00517FFC" w:rsidRDefault="005E39EA" w:rsidP="00FC0080">
      <w:pPr>
        <w:jc w:val="both"/>
        <w:rPr>
          <w:rFonts w:eastAsia="Times New Roman"/>
          <w:b/>
        </w:rPr>
      </w:pPr>
      <w:r w:rsidRPr="00517FFC">
        <w:rPr>
          <w:rFonts w:eastAsia="Times New Roman"/>
          <w:b/>
        </w:rPr>
        <w:t>Исполнение полномочий председателя Думы Ханты-Мансийского района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 xml:space="preserve">В 2012 году проведено 9 заседаний Думы района (4 очередных и 5 внеочередных), на которых рассмотрен 121 вопрос. </w:t>
      </w:r>
    </w:p>
    <w:p w:rsidR="005E39EA" w:rsidRPr="00517FFC" w:rsidRDefault="005E39EA" w:rsidP="00FC0080">
      <w:pPr>
        <w:ind w:firstLine="709"/>
        <w:jc w:val="both"/>
        <w:rPr>
          <w:rFonts w:eastAsia="Times New Roman"/>
        </w:rPr>
      </w:pPr>
      <w:r w:rsidRPr="00517FFC">
        <w:rPr>
          <w:rFonts w:eastAsia="Times New Roman"/>
        </w:rPr>
        <w:t>В отчетном периоде принято 110 решений, из них путем заочного голосования - 9 решений. Наибольшее число принятых решений носят характер нормативно обеспечивающих организационную деятельность органов местного самоуправления и отраслевых органов администрации Ханты-Мансийского района - 62 решения, 43 решения - информационно-контрольные и 6 решений о награждении и присвоении почетного звания.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>По результатам публичных слушаний было принято 7 решений о внесении изменений в Устав Ханты-Мансийского района, внесены изменения в ряд положений, порядков.</w:t>
      </w:r>
    </w:p>
    <w:p w:rsidR="005E39EA" w:rsidRPr="00517FFC" w:rsidRDefault="005E39EA" w:rsidP="00FC0080">
      <w:pPr>
        <w:ind w:firstLine="567"/>
        <w:jc w:val="both"/>
        <w:rPr>
          <w:rFonts w:eastAsia="Times New Roman"/>
          <w:lang w:eastAsia="ar-SA"/>
        </w:rPr>
      </w:pPr>
      <w:r w:rsidRPr="00517FFC">
        <w:t xml:space="preserve">Все решения Думы района своевременно в соответствии с Регламентом Думы района </w:t>
      </w:r>
      <w:r w:rsidRPr="00517FFC">
        <w:rPr>
          <w:rFonts w:eastAsia="Times New Roman"/>
          <w:lang w:eastAsia="ar-SA"/>
        </w:rPr>
        <w:t>подписаны главой района в течение 10 дней с момента их принятия на заседании Думы.</w:t>
      </w:r>
    </w:p>
    <w:p w:rsidR="005E39EA" w:rsidRPr="00517FFC" w:rsidRDefault="005E39EA" w:rsidP="00FC0080">
      <w:pPr>
        <w:ind w:firstLine="567"/>
        <w:jc w:val="both"/>
      </w:pPr>
      <w:r w:rsidRPr="00517FFC">
        <w:lastRenderedPageBreak/>
        <w:t>В течение 2012 года главой Ханты-Мансийского района в соответствии с порядком, установленным Уставом района, обеспечено опубликование (обнародование) нормативн</w:t>
      </w:r>
      <w:r>
        <w:t xml:space="preserve">ых </w:t>
      </w:r>
      <w:r w:rsidRPr="00517FFC">
        <w:t>правовых актов, принятых Думой района.</w:t>
      </w:r>
    </w:p>
    <w:p w:rsidR="005E39EA" w:rsidRPr="00517FFC" w:rsidRDefault="005E39EA" w:rsidP="00FC0080">
      <w:pPr>
        <w:ind w:firstLine="720"/>
        <w:jc w:val="both"/>
        <w:rPr>
          <w:rFonts w:eastAsia="Times New Roman"/>
          <w:iCs/>
        </w:rPr>
      </w:pPr>
      <w:r w:rsidRPr="00517FFC">
        <w:rPr>
          <w:rFonts w:eastAsia="Times New Roman"/>
          <w:iCs/>
        </w:rPr>
        <w:t xml:space="preserve">Основная работа проходила на заседаниях совместных постоянных депутатских комиссий, где депутатами Думы района обсуждались поступившие в Думу района проекты решений и информационные материалы. За прошедший период постоянными комиссиями Думы было проведено 18 совместных заседаний, на которых рассмотрено 155 вопросов. </w:t>
      </w:r>
    </w:p>
    <w:p w:rsidR="005E39EA" w:rsidRPr="00517FFC" w:rsidRDefault="005E39EA" w:rsidP="00FC0080">
      <w:pPr>
        <w:ind w:firstLine="720"/>
        <w:jc w:val="both"/>
        <w:rPr>
          <w:rFonts w:eastAsia="Times New Roman"/>
          <w:color w:val="000000"/>
        </w:rPr>
      </w:pPr>
      <w:r w:rsidRPr="00517FFC">
        <w:rPr>
          <w:rFonts w:eastAsia="Times New Roman"/>
          <w:color w:val="000000"/>
        </w:rPr>
        <w:t xml:space="preserve">Бюджетная и налоговая политика Ханты-Мансийского района в 2012 году строилась в рамках реформы местного самоуправления в Российской Федерации. </w:t>
      </w:r>
    </w:p>
    <w:p w:rsidR="005E39EA" w:rsidRPr="00517FFC" w:rsidRDefault="005E39EA" w:rsidP="00FC0080">
      <w:pPr>
        <w:ind w:firstLine="720"/>
        <w:jc w:val="both"/>
        <w:rPr>
          <w:rFonts w:eastAsia="Times New Roman"/>
          <w:color w:val="000000"/>
        </w:rPr>
      </w:pPr>
      <w:r w:rsidRPr="00517FFC">
        <w:rPr>
          <w:rFonts w:eastAsia="Times New Roman"/>
          <w:color w:val="000000"/>
        </w:rPr>
        <w:t>Думой района в отчетном периоде принято 9 решений, в том числе о внесении изменений в бюджет Ханты-Мансийского района, утверждении отчета об исполнения бюджета за 2011 год и принятии бюджета Ханты-Мансийского района на 2013 год и плановый период 2014 и 2015 годов.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  <w:color w:val="000000"/>
        </w:rPr>
        <w:t xml:space="preserve">На 19-м заседании Думы района принят бюджет Ханты-Мансийского района на 2013 год </w:t>
      </w:r>
      <w:r w:rsidRPr="00517FFC">
        <w:rPr>
          <w:rFonts w:eastAsia="Times New Roman"/>
        </w:rPr>
        <w:t xml:space="preserve">и плановый период 2014 и 2015 годов. </w:t>
      </w:r>
    </w:p>
    <w:p w:rsidR="005E39EA" w:rsidRPr="00517FFC" w:rsidRDefault="005E39EA" w:rsidP="00FC0080">
      <w:pPr>
        <w:keepNext/>
        <w:ind w:firstLine="720"/>
        <w:jc w:val="both"/>
        <w:outlineLvl w:val="3"/>
        <w:rPr>
          <w:rFonts w:eastAsia="Times New Roman"/>
        </w:rPr>
      </w:pPr>
      <w:r w:rsidRPr="00517FFC">
        <w:rPr>
          <w:rFonts w:eastAsia="Times New Roman"/>
          <w:bCs/>
        </w:rPr>
        <w:t>Основные параметры бюджета на 2013 год: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>-прогнозируемый общий объем доходов бюджета района в сумме</w:t>
      </w:r>
      <w:r w:rsidR="001D09EF">
        <w:rPr>
          <w:rFonts w:eastAsia="Times New Roman"/>
          <w:color w:val="FF0000"/>
        </w:rPr>
        <w:t xml:space="preserve"> </w:t>
      </w:r>
      <w:r w:rsidRPr="00517FFC">
        <w:rPr>
          <w:rFonts w:eastAsia="Times New Roman"/>
        </w:rPr>
        <w:t>3 175 324,7</w:t>
      </w:r>
      <w:r w:rsidRPr="00517FFC">
        <w:rPr>
          <w:rFonts w:eastAsia="Times New Roman"/>
          <w:color w:val="FF0000"/>
        </w:rPr>
        <w:t xml:space="preserve"> </w:t>
      </w:r>
      <w:r w:rsidRPr="00517FFC">
        <w:rPr>
          <w:rFonts w:eastAsia="Times New Roman"/>
        </w:rPr>
        <w:t>тыс. рублей, в том числе безвозмездные поступления от других бюджетов бюджетной системы Российской Федерации в сумме 1 672 835,3 тыс. рублей;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 xml:space="preserve">-общий объем расходов бюджета района в сумме 3 259 188,1 </w:t>
      </w:r>
      <w:proofErr w:type="spellStart"/>
      <w:r w:rsidRPr="00517FFC">
        <w:rPr>
          <w:rFonts w:eastAsia="Times New Roman"/>
        </w:rPr>
        <w:t>тыс</w:t>
      </w:r>
      <w:proofErr w:type="gramStart"/>
      <w:r w:rsidRPr="00517FFC">
        <w:rPr>
          <w:rFonts w:eastAsia="Times New Roman"/>
        </w:rPr>
        <w:t>.р</w:t>
      </w:r>
      <w:proofErr w:type="gramEnd"/>
      <w:r w:rsidRPr="00517FFC">
        <w:rPr>
          <w:rFonts w:eastAsia="Times New Roman"/>
        </w:rPr>
        <w:t>ублей</w:t>
      </w:r>
      <w:proofErr w:type="spellEnd"/>
      <w:r w:rsidRPr="00517FFC">
        <w:rPr>
          <w:rFonts w:eastAsia="Times New Roman"/>
        </w:rPr>
        <w:t>;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 xml:space="preserve">-прогнозируемый дефицит бюджета района в сумме 83 863,4 </w:t>
      </w:r>
      <w:proofErr w:type="spellStart"/>
      <w:r w:rsidRPr="00517FFC">
        <w:rPr>
          <w:rFonts w:eastAsia="Times New Roman"/>
        </w:rPr>
        <w:t>тыс</w:t>
      </w:r>
      <w:proofErr w:type="gramStart"/>
      <w:r w:rsidRPr="00517FFC">
        <w:rPr>
          <w:rFonts w:eastAsia="Times New Roman"/>
        </w:rPr>
        <w:t>.р</w:t>
      </w:r>
      <w:proofErr w:type="gramEnd"/>
      <w:r w:rsidRPr="00517FFC">
        <w:rPr>
          <w:rFonts w:eastAsia="Times New Roman"/>
        </w:rPr>
        <w:t>ублей</w:t>
      </w:r>
      <w:proofErr w:type="spellEnd"/>
      <w:r w:rsidRPr="00517FFC">
        <w:rPr>
          <w:rFonts w:eastAsia="Times New Roman"/>
        </w:rPr>
        <w:t>.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 xml:space="preserve">В отчетном году Думой района принято 4 решения о награждении Почетной грамотой Думы Ханты-Мансийского района </w:t>
      </w:r>
      <w:r>
        <w:rPr>
          <w:rFonts w:eastAsia="Times New Roman"/>
        </w:rPr>
        <w:t xml:space="preserve">17 </w:t>
      </w:r>
      <w:r w:rsidRPr="00517FFC">
        <w:rPr>
          <w:rFonts w:eastAsia="Times New Roman"/>
        </w:rPr>
        <w:t xml:space="preserve">заслуженных жителей Ханты-Мансийского района и 2 решения о присвоении трем жителям Ханты-Мансийского района звания «Почетный гражданин Ханты-Мансийского района». 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  <w:bCs/>
        </w:rPr>
        <w:t xml:space="preserve">Одним из важнейших направлений деятельности Думы Ханты-Мансийского района в 2012 году являлся </w:t>
      </w:r>
      <w:proofErr w:type="gramStart"/>
      <w:r w:rsidRPr="00517FFC">
        <w:rPr>
          <w:rFonts w:eastAsia="Times New Roman"/>
          <w:bCs/>
        </w:rPr>
        <w:t>контроль за</w:t>
      </w:r>
      <w:proofErr w:type="gramEnd"/>
      <w:r w:rsidRPr="00517FFC">
        <w:rPr>
          <w:rFonts w:eastAsia="Times New Roman"/>
          <w:bCs/>
        </w:rPr>
        <w:t xml:space="preserve"> исполнением</w:t>
      </w:r>
      <w:r w:rsidRPr="00517FFC">
        <w:rPr>
          <w:rFonts w:eastAsia="Times New Roman"/>
        </w:rPr>
        <w:t xml:space="preserve"> </w:t>
      </w:r>
      <w:r w:rsidRPr="00517FFC">
        <w:rPr>
          <w:rFonts w:eastAsia="Times New Roman"/>
          <w:bCs/>
        </w:rPr>
        <w:t xml:space="preserve">поручений Думы </w:t>
      </w:r>
      <w:r w:rsidRPr="00517FFC">
        <w:rPr>
          <w:rFonts w:eastAsia="Times New Roman"/>
        </w:rPr>
        <w:t>Ханты-Мансийского района</w:t>
      </w:r>
      <w:r w:rsidRPr="00517FFC">
        <w:rPr>
          <w:rFonts w:eastAsia="Times New Roman"/>
          <w:bCs/>
        </w:rPr>
        <w:t xml:space="preserve"> администрации Ханты-Мансийского района. </w:t>
      </w:r>
      <w:r w:rsidRPr="00517FFC">
        <w:rPr>
          <w:rFonts w:eastAsia="Times New Roman"/>
        </w:rPr>
        <w:t>За 2012 год Думой района было дано 29 поручений администрации района, из них 28 исполнено, по одному поручению продлен срок исполнения.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  <w:r w:rsidRPr="00517FFC">
        <w:rPr>
          <w:rFonts w:eastAsia="Times New Roman"/>
        </w:rPr>
        <w:t>Информация о деятельности Думы района будет представлена отдельно в отчёте Думы</w:t>
      </w:r>
      <w:r>
        <w:rPr>
          <w:rFonts w:eastAsia="Times New Roman"/>
        </w:rPr>
        <w:t xml:space="preserve"> района</w:t>
      </w:r>
      <w:r w:rsidRPr="00517FFC">
        <w:rPr>
          <w:rFonts w:eastAsia="Times New Roman"/>
        </w:rPr>
        <w:t>.</w:t>
      </w:r>
    </w:p>
    <w:p w:rsidR="005E39EA" w:rsidRPr="00517FFC" w:rsidRDefault="005E39EA" w:rsidP="00FC0080">
      <w:pPr>
        <w:ind w:firstLine="720"/>
        <w:jc w:val="both"/>
        <w:rPr>
          <w:rFonts w:eastAsia="Times New Roman"/>
        </w:rPr>
      </w:pPr>
    </w:p>
    <w:p w:rsidR="009932FF" w:rsidRDefault="005E39EA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lang w:eastAsia="ru-RU"/>
        </w:rPr>
      </w:pPr>
      <w:proofErr w:type="gramStart"/>
      <w:r w:rsidRPr="00517FFC">
        <w:t>Согласно представленной администрацией района</w:t>
      </w:r>
      <w:r>
        <w:t xml:space="preserve"> информации</w:t>
      </w:r>
      <w:r w:rsidR="009932FF">
        <w:t xml:space="preserve"> </w:t>
      </w:r>
      <w:r w:rsidRPr="00517FFC">
        <w:rPr>
          <w:snapToGrid w:val="0"/>
        </w:rPr>
        <w:t>итог</w:t>
      </w:r>
      <w:r w:rsidR="009932FF">
        <w:rPr>
          <w:snapToGrid w:val="0"/>
        </w:rPr>
        <w:t>ов</w:t>
      </w:r>
      <w:r w:rsidRPr="00517FFC">
        <w:rPr>
          <w:snapToGrid w:val="0"/>
        </w:rPr>
        <w:t xml:space="preserve"> социально-экономического развития Ханты-Мансийского района за</w:t>
      </w:r>
      <w:r w:rsidRPr="00517FFC">
        <w:t xml:space="preserve"> 2012 год </w:t>
      </w:r>
      <w:r w:rsidR="009932FF">
        <w:t>в</w:t>
      </w:r>
      <w:r w:rsidR="009932FF" w:rsidRPr="009932FF">
        <w:rPr>
          <w:rFonts w:eastAsia="Times New Roman"/>
          <w:b/>
          <w:i/>
          <w:lang w:eastAsia="ru-RU"/>
        </w:rPr>
        <w:t xml:space="preserve"> целом итоги характеризуются</w:t>
      </w:r>
      <w:r w:rsidR="009932FF" w:rsidRPr="009932FF">
        <w:rPr>
          <w:rFonts w:eastAsia="Times New Roman"/>
          <w:b/>
          <w:bCs/>
          <w:i/>
          <w:lang w:eastAsia="ru-RU"/>
        </w:rPr>
        <w:t xml:space="preserve"> положительной динамикой производства сельского хозяйства, объемов добычи нефти, </w:t>
      </w:r>
      <w:r w:rsidR="009932FF" w:rsidRPr="009932FF">
        <w:rPr>
          <w:rFonts w:eastAsia="Times New Roman"/>
          <w:b/>
          <w:i/>
          <w:lang w:eastAsia="ru-RU"/>
        </w:rPr>
        <w:t>стоимостных показателей (в сопоставимых ценах) объема отгруженной продукции</w:t>
      </w:r>
      <w:r w:rsidR="009932FF" w:rsidRPr="009932FF">
        <w:rPr>
          <w:rFonts w:eastAsia="Times New Roman"/>
          <w:b/>
          <w:bCs/>
          <w:i/>
          <w:lang w:eastAsia="ru-RU"/>
        </w:rPr>
        <w:t xml:space="preserve">, </w:t>
      </w:r>
      <w:r w:rsidR="009932FF" w:rsidRPr="009932FF">
        <w:rPr>
          <w:rFonts w:eastAsia="Times New Roman"/>
          <w:b/>
          <w:bCs/>
          <w:i/>
          <w:lang w:eastAsia="ru-RU"/>
        </w:rPr>
        <w:lastRenderedPageBreak/>
        <w:t xml:space="preserve">показателей в сфере малого бизнеса и потребительского рынка, объемов вводимого жилья, уровня жизни населения, снижением уровня официальной безработицы, а также снижением </w:t>
      </w:r>
      <w:r w:rsidR="009932FF" w:rsidRPr="009932FF">
        <w:rPr>
          <w:rFonts w:eastAsia="Times New Roman"/>
          <w:b/>
          <w:i/>
          <w:lang w:eastAsia="ru-RU"/>
        </w:rPr>
        <w:t xml:space="preserve">численности населения и </w:t>
      </w:r>
      <w:r w:rsidR="009932FF" w:rsidRPr="009932FF">
        <w:rPr>
          <w:rFonts w:eastAsia="Times New Roman"/>
          <w:b/>
          <w:bCs/>
          <w:i/>
          <w:lang w:eastAsia="ru-RU"/>
        </w:rPr>
        <w:t>инвестиционной активности предприятий.</w:t>
      </w:r>
      <w:proofErr w:type="gramEnd"/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lang w:eastAsia="ru-RU"/>
        </w:rPr>
      </w:pPr>
    </w:p>
    <w:p w:rsidR="009932FF" w:rsidRPr="009932FF" w:rsidRDefault="009932FF" w:rsidP="00FC008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рождений</w:t>
      </w:r>
      <w:r w:rsidRPr="0099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составило 327 детей, что на 23,8% больше уровня аналогичного периода 2011 года (264 детей).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Количество смертей</w:t>
      </w:r>
      <w:r w:rsidRPr="009932FF">
        <w:rPr>
          <w:rFonts w:eastAsia="Times New Roman"/>
          <w:lang w:eastAsia="ru-RU"/>
        </w:rPr>
        <w:t xml:space="preserve"> за 2012 года составило 194 случая,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что на 3% меньше аналогичного периода 2011 года (200 случаев).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Естественный прирост</w:t>
      </w:r>
      <w:r w:rsidRPr="009932FF">
        <w:rPr>
          <w:rFonts w:eastAsia="Times New Roman"/>
          <w:lang w:eastAsia="ru-RU"/>
        </w:rPr>
        <w:t xml:space="preserve"> населения за 2012 года составил 133 человека,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 xml:space="preserve">тогда как в аналогичном периоде прошлого года количество рождений превышало количество смертей на 64 случая. 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Численность постоянного населения</w:t>
      </w:r>
      <w:r w:rsidRPr="009932FF">
        <w:rPr>
          <w:rFonts w:eastAsia="Times New Roman"/>
          <w:lang w:eastAsia="ru-RU"/>
        </w:rPr>
        <w:t xml:space="preserve"> района снизилась на 43 человека по отношению к соответствующему периоду 2011 года и составила                         20 095 человек.</w:t>
      </w:r>
      <w:r w:rsidRPr="009932FF">
        <w:rPr>
          <w:rFonts w:eastAsia="Times New Roman"/>
          <w:b/>
          <w:lang w:eastAsia="ru-RU"/>
        </w:rPr>
        <w:t xml:space="preserve"> 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Среднесписочная численность работников по крупным и средним предприятиям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за 2012 год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 xml:space="preserve">составила 14 468 человек, увеличившись к уровню аналогичного периода 2011 года на 11,5%. 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Численность официально зарегистрированных безработных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по состоянию на 01 января 2013 года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составила 239 человек, что ниже показателя на соответствующую дату 2012 года на 31,1% (347 человек).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Уровень официально зарегистрированных безработных составил 1,34% против уровня аналогичного периода 2012 года (2,08%).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Среднемесячная заработная плата</w:t>
      </w:r>
      <w:r w:rsidRPr="009932FF">
        <w:rPr>
          <w:rFonts w:eastAsia="Times New Roman"/>
          <w:lang w:eastAsia="ru-RU"/>
        </w:rPr>
        <w:t xml:space="preserve"> одного работающего по крупным и средним предприятиям за январь – декабрь 2012 года составила                         52 288,9 рублей, увеличившись по сравнению с аналогичным периодом прошлого года на 12,4%.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Объем отгруженных товаров собственного производства, выполненных работ и услуг собственными силами, по крупным и средним предприятиям</w:t>
      </w:r>
      <w:r w:rsidRPr="009932FF">
        <w:rPr>
          <w:rFonts w:eastAsia="Times New Roman"/>
          <w:lang w:eastAsia="ru-RU"/>
        </w:rPr>
        <w:t xml:space="preserve"> за 2012 год составил 151,3 млрд. рублей, увеличившись в сопоставимых ценах к уровню 2011 года на 8%. 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lang w:eastAsia="ru-RU"/>
        </w:rPr>
      </w:pPr>
      <w:r w:rsidRPr="009932FF">
        <w:rPr>
          <w:rFonts w:eastAsia="Times New Roman"/>
          <w:b/>
          <w:i/>
          <w:lang w:eastAsia="ru-RU"/>
        </w:rPr>
        <w:t>По всем видам экономической деятельности за 2012 год отмечается увеличение стоимостных объемов: по производству и распределению электроэнергии, газа и воды – 140,8%, в обрабатывающих производствах рост объема составил 116,3% к уровню аналогичного периода предыдущего года в сопоставимых ценах, по добыче полезных ископаемых – 105,9%.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9932FF">
        <w:rPr>
          <w:rFonts w:eastAsia="Times New Roman"/>
          <w:lang w:eastAsia="ru-RU"/>
        </w:rPr>
        <w:t>За 2012 год п</w:t>
      </w:r>
      <w:r w:rsidRPr="009932FF">
        <w:rPr>
          <w:rFonts w:eastAsia="Times New Roman"/>
          <w:bCs/>
          <w:lang w:eastAsia="ru-RU"/>
        </w:rPr>
        <w:t>роизводство основных видов продукции сложилось следующим образом</w:t>
      </w:r>
      <w:r w:rsidRPr="009932FF">
        <w:rPr>
          <w:rFonts w:eastAsia="Times New Roman"/>
          <w:shd w:val="clear" w:color="auto" w:fill="FFFFFF"/>
          <w:lang w:eastAsia="ru-RU"/>
        </w:rPr>
        <w:t>: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9932FF">
        <w:rPr>
          <w:rFonts w:eastAsia="Times New Roman"/>
          <w:shd w:val="clear" w:color="auto" w:fill="FFFFFF"/>
          <w:lang w:eastAsia="ru-RU"/>
        </w:rPr>
        <w:t>добыча нефти, включая газовый конденсат – 46,9 млн. тонн или 102,4% к уровню 2011 года (45,8 млн. тонн);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hd w:val="clear" w:color="auto" w:fill="FFFFFF"/>
          <w:lang w:eastAsia="ru-RU"/>
        </w:rPr>
      </w:pPr>
      <w:r w:rsidRPr="009932FF">
        <w:rPr>
          <w:rFonts w:eastAsia="Times New Roman"/>
          <w:shd w:val="clear" w:color="auto" w:fill="FFFFFF"/>
          <w:lang w:eastAsia="ru-RU"/>
        </w:rPr>
        <w:t>добыча газа – 3,684 млрд. куб. метров или 105,9% к уровню 2011 года</w:t>
      </w:r>
      <w:r w:rsidRPr="009932FF">
        <w:rPr>
          <w:rFonts w:eastAsia="Times New Roman"/>
          <w:color w:val="0070C0"/>
          <w:shd w:val="clear" w:color="auto" w:fill="FFFFFF"/>
          <w:lang w:eastAsia="ru-RU"/>
        </w:rPr>
        <w:t xml:space="preserve"> </w:t>
      </w:r>
      <w:r w:rsidRPr="009932FF">
        <w:rPr>
          <w:rFonts w:eastAsia="Times New Roman"/>
          <w:shd w:val="clear" w:color="auto" w:fill="FFFFFF"/>
          <w:lang w:eastAsia="ru-RU"/>
        </w:rPr>
        <w:t>(3,477 млрд. куб. метров);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9932FF">
        <w:rPr>
          <w:rFonts w:eastAsia="Times New Roman"/>
          <w:lang w:eastAsia="ru-RU"/>
        </w:rPr>
        <w:t xml:space="preserve">производство электроэнергии – 1 857,3 </w:t>
      </w:r>
      <w:r w:rsidRPr="009932FF">
        <w:rPr>
          <w:rFonts w:eastAsia="Times New Roman"/>
          <w:shd w:val="clear" w:color="auto" w:fill="FFFFFF"/>
          <w:lang w:eastAsia="ru-RU"/>
        </w:rPr>
        <w:t>млн. кВт/час или 155,9% к уровню 2011 года (1 191,2млн. кВт/час);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9932FF">
        <w:rPr>
          <w:rFonts w:eastAsia="Times New Roman"/>
          <w:shd w:val="clear" w:color="auto" w:fill="FFFFFF"/>
          <w:lang w:eastAsia="ru-RU"/>
        </w:rPr>
        <w:lastRenderedPageBreak/>
        <w:t>добыча строительного песка – 8 235,7 тыс. куб. м или 53,6% к уровню 2011 года (15 364,2 тыс. куб. м);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lang w:eastAsia="ru-RU"/>
        </w:rPr>
        <w:t>Лидирующими предприятиями по добыче нефти на территории района в отчетном периоде остаются ОАО НК «Роснефть», на его долю приходится 69,1% от общего объема добытой нефти; ОАО «</w:t>
      </w:r>
      <w:proofErr w:type="spellStart"/>
      <w:r w:rsidRPr="009932FF">
        <w:rPr>
          <w:rFonts w:eastAsia="Times New Roman"/>
          <w:lang w:eastAsia="ru-RU"/>
        </w:rPr>
        <w:t>Газпромнефть</w:t>
      </w:r>
      <w:proofErr w:type="spellEnd"/>
      <w:r w:rsidRPr="009932FF">
        <w:rPr>
          <w:rFonts w:eastAsia="Times New Roman"/>
          <w:lang w:eastAsia="ru-RU"/>
        </w:rPr>
        <w:t>» – 24%;              ТНК-ВР Менеджмент – 3,5%.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lang w:eastAsia="ru-RU"/>
        </w:rPr>
        <w:t>Производство продукции сельского хозяйства (с учетом населения) характеризуется положительной динамикой: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производство мяса</w:t>
      </w:r>
      <w:r w:rsidRPr="009932FF">
        <w:rPr>
          <w:rFonts w:eastAsia="Times New Roman"/>
          <w:lang w:eastAsia="ru-RU"/>
        </w:rPr>
        <w:t xml:space="preserve"> составило 884,7 тонны, увеличившись на 32,8% к уровню 2011 года;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производство молока</w:t>
      </w:r>
      <w:r w:rsidRPr="009932FF">
        <w:rPr>
          <w:rFonts w:eastAsia="Times New Roman"/>
          <w:lang w:eastAsia="ru-RU"/>
        </w:rPr>
        <w:t xml:space="preserve"> составило 5 360,0 тонн, увеличившись на 6,5% к уровню 2011 года.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Объем инвестиций в основной капитал</w:t>
      </w:r>
      <w:r w:rsidRPr="009932FF">
        <w:rPr>
          <w:rFonts w:eastAsia="Times New Roman"/>
          <w:i/>
          <w:lang w:eastAsia="ru-RU"/>
        </w:rPr>
        <w:t xml:space="preserve"> </w:t>
      </w:r>
      <w:r w:rsidRPr="009932FF">
        <w:rPr>
          <w:rFonts w:eastAsia="Times New Roman"/>
          <w:b/>
          <w:i/>
          <w:lang w:eastAsia="ru-RU"/>
        </w:rPr>
        <w:t>по крупным и средним предприятиям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за 2012 год составил 14 381,4 млн. рублей, снизившись в сопоставимых ценах к уровню 2011 года на 19,6%.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Ввод жилья</w:t>
      </w:r>
      <w:r w:rsidRPr="009932FF">
        <w:rPr>
          <w:rFonts w:eastAsia="Times New Roman"/>
          <w:lang w:eastAsia="ru-RU"/>
        </w:rPr>
        <w:t xml:space="preserve"> сложился в объеме 13 388 кв. метров, что выше уровня  2011 года на 22,5%.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Число субъектов малого предпринимательства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 xml:space="preserve">составило 687 единиц, увеличившись по сравнению с аналогичным периодом 2011 года на 7%. 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Оборот розничной торговли</w:t>
      </w:r>
      <w:r w:rsidRPr="009932FF">
        <w:rPr>
          <w:rFonts w:eastAsia="Times New Roman"/>
          <w:lang w:eastAsia="ru-RU"/>
        </w:rPr>
        <w:t xml:space="preserve"> составил 1429,7  млн. рублей или 106,1% к уровню аналогичного периода прошлого года в сопоставимых ценах.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Инфраструктура розничной торговли представлена 180 объектами розничной сети, общей торговой площадью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6 633,7 кв. метра.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proofErr w:type="gramStart"/>
      <w:r w:rsidRPr="009932FF">
        <w:rPr>
          <w:rFonts w:eastAsia="Times New Roman"/>
          <w:b/>
          <w:i/>
          <w:lang w:eastAsia="ru-RU"/>
        </w:rPr>
        <w:t>Финансовое состояние предприятий</w:t>
      </w:r>
      <w:r w:rsidRPr="009932FF">
        <w:rPr>
          <w:rFonts w:eastAsia="Times New Roman"/>
          <w:b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 xml:space="preserve">на 01 ноября 2012 года: </w:t>
      </w:r>
      <w:r w:rsidRPr="009932FF">
        <w:rPr>
          <w:rFonts w:eastAsia="Times New Roman"/>
          <w:lang w:eastAsia="ru-RU"/>
        </w:rPr>
        <w:tab/>
        <w:t>дебиторская задолженность составила 17,9 млрд. рублей, увеличившись по сравнению с аналогичным периодом 2011 года на 5,3%, кредиторская задолженность составила 7,4  млрд. рублей, что выше соответствующего периода 2011 года на 1,7%.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Сальдированный финансовый результат – отрицательный и составил -225,73 млн. рублей: сумма прибыли составила 311,4 млн. рублей (01 ноября 2011 года – 890,8 млн. рублей</w:t>
      </w:r>
      <w:proofErr w:type="gramEnd"/>
      <w:r w:rsidRPr="009932FF">
        <w:rPr>
          <w:rFonts w:eastAsia="Times New Roman"/>
          <w:lang w:eastAsia="ru-RU"/>
        </w:rPr>
        <w:t xml:space="preserve">), убытка – 537,2 млн. рублей (01 ноября 2011 года – 556,4 млн. рублей). 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9932FF">
        <w:rPr>
          <w:rFonts w:eastAsia="Times New Roman"/>
          <w:b/>
          <w:i/>
          <w:lang w:eastAsia="ru-RU"/>
        </w:rPr>
        <w:t>Налоговые доходы и сборы во все уровни бюджетной системы</w:t>
      </w:r>
      <w:r w:rsidRPr="009932FF">
        <w:rPr>
          <w:rFonts w:eastAsia="Times New Roman"/>
          <w:lang w:eastAsia="ru-RU"/>
        </w:rPr>
        <w:t>, формируемые на территории района, составили 7 446,1 млн. рублей, увеличившись по сравнению с аналогичным периодом 2011 года на 20,4% (6 183,9 млн. рублей).</w:t>
      </w:r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i/>
          <w:lang w:eastAsia="ru-RU"/>
        </w:rPr>
      </w:pPr>
      <w:proofErr w:type="gramStart"/>
      <w:r w:rsidRPr="009932FF">
        <w:rPr>
          <w:rFonts w:eastAsia="Times New Roman"/>
          <w:b/>
          <w:i/>
          <w:lang w:eastAsia="ru-RU"/>
        </w:rPr>
        <w:t>Доходы консолидированного бюджета района</w:t>
      </w:r>
      <w:r w:rsidRPr="009932FF">
        <w:rPr>
          <w:rFonts w:eastAsia="Times New Roman"/>
          <w:lang w:eastAsia="ru-RU"/>
        </w:rPr>
        <w:t xml:space="preserve"> (с учетом финансовой помощи из других уровней бюджетной системы Российской Федерации) исполнены в объеме 3 798,5 млн. рублей, увеличившись по сравнению с аналогичным периодом 2011 года на 13,2%; расходы – 3860,9 млн. рублей, увеличившись по сравнению с аналогичным периодом 2011 года на 26,3%;</w:t>
      </w:r>
      <w:r w:rsidRPr="009932FF">
        <w:rPr>
          <w:rFonts w:eastAsia="Times New Roman"/>
          <w:color w:val="0070C0"/>
          <w:lang w:eastAsia="ru-RU"/>
        </w:rPr>
        <w:t xml:space="preserve"> </w:t>
      </w:r>
      <w:r w:rsidRPr="009932FF">
        <w:rPr>
          <w:rFonts w:eastAsia="Times New Roman"/>
          <w:lang w:eastAsia="ru-RU"/>
        </w:rPr>
        <w:t>дефицит составил 62,4 млн. рублей или 1,6% к расходам бюджета.</w:t>
      </w:r>
      <w:proofErr w:type="gramEnd"/>
    </w:p>
    <w:p w:rsidR="009932FF" w:rsidRPr="009932FF" w:rsidRDefault="009932FF" w:rsidP="00FC008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lang w:eastAsia="ru-RU"/>
        </w:rPr>
      </w:pPr>
    </w:p>
    <w:p w:rsidR="005E39EA" w:rsidRPr="00517FFC" w:rsidRDefault="005E39EA" w:rsidP="00FC0080">
      <w:pPr>
        <w:pStyle w:val="a4"/>
        <w:ind w:firstLine="708"/>
        <w:jc w:val="both"/>
      </w:pPr>
    </w:p>
    <w:p w:rsidR="005E39EA" w:rsidRPr="00517FFC" w:rsidRDefault="005E39EA" w:rsidP="00FC0080">
      <w:pPr>
        <w:ind w:firstLine="567"/>
        <w:jc w:val="both"/>
      </w:pPr>
      <w:r w:rsidRPr="00517FFC">
        <w:lastRenderedPageBreak/>
        <w:t>В тоже время анализ предварительных результатов работы органов местного самоуправления в 2012 году позволяет сделать следующие выводы.</w:t>
      </w:r>
    </w:p>
    <w:p w:rsidR="005E39EA" w:rsidRDefault="005E39EA" w:rsidP="00FC008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17FFC">
        <w:t xml:space="preserve">В 2012 году на решение проблемы чистой воды в населённых пунктах района было выделено </w:t>
      </w:r>
      <w:r w:rsidR="00297A80">
        <w:t>32 552,4</w:t>
      </w:r>
      <w:r w:rsidRPr="00517FFC">
        <w:t xml:space="preserve"> тыс. руб.</w:t>
      </w:r>
      <w:r>
        <w:t>:</w:t>
      </w:r>
    </w:p>
    <w:p w:rsidR="005E39EA" w:rsidRPr="00517FFC" w:rsidRDefault="005E39EA" w:rsidP="00FC0080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9C087B">
        <w:rPr>
          <w:lang w:eastAsia="ru-RU"/>
        </w:rPr>
        <w:t>по программе «</w:t>
      </w:r>
      <w:hyperlink r:id="rId19" w:history="1">
        <w:r w:rsidRPr="00517FFC">
          <w:rPr>
            <w:rStyle w:val="a6"/>
            <w:color w:val="auto"/>
            <w:u w:val="none"/>
          </w:rPr>
          <w:t>Развитие и модернизация жилищно-коммунального комплекса Ханты-Мансийского района на 2011-2013 годы</w:t>
        </w:r>
      </w:hyperlink>
      <w:r w:rsidRPr="009C087B">
        <w:t xml:space="preserve">» запланировано </w:t>
      </w:r>
      <w:r w:rsidRPr="00517FFC">
        <w:rPr>
          <w:bCs/>
          <w:color w:val="000000"/>
        </w:rPr>
        <w:t>34 561,6</w:t>
      </w:r>
      <w:r w:rsidRPr="009C087B">
        <w:t xml:space="preserve"> тыс. руб</w:t>
      </w:r>
      <w:r w:rsidR="00276C43">
        <w:t>лей</w:t>
      </w:r>
      <w:r w:rsidRPr="00517FFC">
        <w:rPr>
          <w:bCs/>
          <w:color w:val="000000"/>
        </w:rPr>
        <w:t>, фактически освоено 20 952,4</w:t>
      </w:r>
      <w:r w:rsidRPr="009C087B">
        <w:t xml:space="preserve"> тыс. руб</w:t>
      </w:r>
      <w:r w:rsidR="00276C43">
        <w:t>лей</w:t>
      </w:r>
      <w:r w:rsidRPr="00517FFC">
        <w:rPr>
          <w:bCs/>
          <w:color w:val="000000"/>
        </w:rPr>
        <w:t>;</w:t>
      </w:r>
    </w:p>
    <w:p w:rsidR="005E39EA" w:rsidRPr="009C087B" w:rsidRDefault="005E39EA" w:rsidP="00FC0080">
      <w:pPr>
        <w:tabs>
          <w:tab w:val="left" w:pos="993"/>
        </w:tabs>
        <w:ind w:firstLine="567"/>
        <w:jc w:val="both"/>
      </w:pPr>
      <w:r w:rsidRPr="009C087B">
        <w:t>на обеспечение водой учреждений образования в 2012 году выделено 11 600, 00 тыс. руб</w:t>
      </w:r>
      <w:r w:rsidR="00276C43">
        <w:t>лей</w:t>
      </w:r>
      <w:r w:rsidRPr="009C087B">
        <w:t>, в том числе 2</w:t>
      </w:r>
      <w:r w:rsidR="00276C43">
        <w:t xml:space="preserve"> </w:t>
      </w:r>
      <w:r w:rsidRPr="009C087B">
        <w:t>900,0 тыс. руб</w:t>
      </w:r>
      <w:r w:rsidR="00276C43">
        <w:t>лей</w:t>
      </w:r>
      <w:r w:rsidRPr="009C087B">
        <w:t xml:space="preserve"> - бюджет района. </w:t>
      </w:r>
    </w:p>
    <w:p w:rsidR="005E39EA" w:rsidRPr="00DC2D1C" w:rsidRDefault="00276C43" w:rsidP="00FC0080">
      <w:pPr>
        <w:tabs>
          <w:tab w:val="left" w:pos="993"/>
        </w:tabs>
        <w:ind w:firstLine="567"/>
        <w:jc w:val="both"/>
        <w:rPr>
          <w:b/>
        </w:rPr>
      </w:pPr>
      <w:r w:rsidRPr="00DC2D1C">
        <w:rPr>
          <w:b/>
        </w:rPr>
        <w:t>Если проблемы образовательных учреждени</w:t>
      </w:r>
      <w:r w:rsidR="00DC2D1C" w:rsidRPr="00DC2D1C">
        <w:rPr>
          <w:b/>
        </w:rPr>
        <w:t>й с потреблением чистой воды</w:t>
      </w:r>
      <w:r w:rsidRPr="00DC2D1C">
        <w:rPr>
          <w:b/>
        </w:rPr>
        <w:t xml:space="preserve"> </w:t>
      </w:r>
      <w:r w:rsidR="00F50EE7">
        <w:rPr>
          <w:b/>
        </w:rPr>
        <w:t xml:space="preserve">частично </w:t>
      </w:r>
      <w:r w:rsidRPr="00DC2D1C">
        <w:rPr>
          <w:b/>
        </w:rPr>
        <w:t xml:space="preserve">решена, то поставляемая вода жителям населенных пунктов </w:t>
      </w:r>
      <w:r w:rsidR="00DC2D1C" w:rsidRPr="00DC2D1C">
        <w:rPr>
          <w:b/>
        </w:rPr>
        <w:t xml:space="preserve">района </w:t>
      </w:r>
      <w:r w:rsidRPr="00DC2D1C">
        <w:rPr>
          <w:b/>
        </w:rPr>
        <w:t xml:space="preserve">соответствует качеству </w:t>
      </w:r>
      <w:r w:rsidR="005E39EA" w:rsidRPr="00DC2D1C">
        <w:rPr>
          <w:b/>
        </w:rPr>
        <w:t xml:space="preserve">только в </w:t>
      </w:r>
      <w:proofErr w:type="spellStart"/>
      <w:r w:rsidR="005E39EA" w:rsidRPr="00DC2D1C">
        <w:rPr>
          <w:b/>
        </w:rPr>
        <w:t>с</w:t>
      </w:r>
      <w:proofErr w:type="gramStart"/>
      <w:r w:rsidR="005E39EA" w:rsidRPr="00DC2D1C">
        <w:rPr>
          <w:b/>
        </w:rPr>
        <w:t>.Т</w:t>
      </w:r>
      <w:proofErr w:type="gramEnd"/>
      <w:r w:rsidR="005E39EA" w:rsidRPr="00DC2D1C">
        <w:rPr>
          <w:b/>
        </w:rPr>
        <w:t>роица</w:t>
      </w:r>
      <w:proofErr w:type="spellEnd"/>
      <w:r w:rsidR="005E39EA" w:rsidRPr="00DC2D1C">
        <w:rPr>
          <w:b/>
        </w:rPr>
        <w:t>.</w:t>
      </w:r>
    </w:p>
    <w:p w:rsidR="005E39EA" w:rsidRDefault="005E39EA" w:rsidP="00FC008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9C087B">
        <w:rPr>
          <w:rFonts w:eastAsia="Times New Roman"/>
          <w:lang w:eastAsia="ru-RU"/>
        </w:rPr>
        <w:t xml:space="preserve">По программе </w:t>
      </w:r>
      <w:r w:rsidRPr="009C087B">
        <w:t>«Комплексное развитие жилищного строительства на территории Ханты-Мансийского района на 2011-2013 годы» всего было выделено 425</w:t>
      </w:r>
      <w:r w:rsidR="00276C43">
        <w:t xml:space="preserve"> </w:t>
      </w:r>
      <w:r w:rsidRPr="009C087B">
        <w:t xml:space="preserve">494,1 тыс. рублей. Фактически в 2012 году ввод жилья сложился в объеме 13 38 кв. метров, при этом </w:t>
      </w:r>
      <w:r>
        <w:t>5 8</w:t>
      </w:r>
      <w:r w:rsidRPr="009C087B">
        <w:t xml:space="preserve">00 кв. метров – это ИЖС и лишь </w:t>
      </w:r>
      <w:r>
        <w:t>7 58</w:t>
      </w:r>
      <w:r w:rsidRPr="009C087B">
        <w:t>0 кв. метров – это жилые помещения, построенные в рамках мероприятий программы. Как видно объёмы фи</w:t>
      </w:r>
      <w:r>
        <w:t>нансирования и объёмы фактически построенного</w:t>
      </w:r>
      <w:r w:rsidRPr="009C087B">
        <w:t xml:space="preserve"> жилья не соизмеримы. Необходимо организовать исполнение поставленной Губернатором </w:t>
      </w:r>
      <w:r>
        <w:t>Югры</w:t>
      </w:r>
      <w:r w:rsidRPr="009C087B">
        <w:t xml:space="preserve"> задачи ежегодного ввода жилья из расчёта 1 кв. метр на одного жителя в год.</w:t>
      </w:r>
    </w:p>
    <w:p w:rsidR="005E39EA" w:rsidRPr="009C087B" w:rsidRDefault="005E39EA" w:rsidP="00FC008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9C087B">
        <w:rPr>
          <w:rFonts w:eastAsia="Times New Roman"/>
          <w:lang w:eastAsia="ru-RU"/>
        </w:rPr>
        <w:t xml:space="preserve">В 2012 году: </w:t>
      </w:r>
    </w:p>
    <w:p w:rsidR="005E39EA" w:rsidRPr="009C087B" w:rsidRDefault="005E39EA" w:rsidP="00FC0080">
      <w:pPr>
        <w:pStyle w:val="a3"/>
        <w:tabs>
          <w:tab w:val="left" w:pos="993"/>
        </w:tabs>
        <w:ind w:left="0" w:firstLine="567"/>
        <w:jc w:val="both"/>
        <w:rPr>
          <w:bCs/>
          <w:color w:val="000000"/>
        </w:rPr>
      </w:pPr>
      <w:r w:rsidRPr="009C087B">
        <w:rPr>
          <w:rFonts w:eastAsia="Times New Roman"/>
          <w:lang w:eastAsia="ru-RU"/>
        </w:rPr>
        <w:t xml:space="preserve">по программе поддержки предпринимательства было выделено </w:t>
      </w:r>
      <w:r w:rsidRPr="009C087B">
        <w:rPr>
          <w:bCs/>
          <w:color w:val="000000"/>
        </w:rPr>
        <w:t>18 116,689 тыс. руб</w:t>
      </w:r>
      <w:r w:rsidR="00DC2D1C">
        <w:rPr>
          <w:bCs/>
          <w:color w:val="000000"/>
        </w:rPr>
        <w:t>лей</w:t>
      </w:r>
      <w:r w:rsidRPr="009C087B">
        <w:rPr>
          <w:bCs/>
          <w:color w:val="000000"/>
        </w:rPr>
        <w:t xml:space="preserve"> (федеральный бюджет - </w:t>
      </w:r>
      <w:r w:rsidRPr="009C087B">
        <w:rPr>
          <w:color w:val="000000"/>
        </w:rPr>
        <w:t>805,0</w:t>
      </w:r>
      <w:r w:rsidRPr="009C087B">
        <w:rPr>
          <w:bCs/>
          <w:color w:val="000000"/>
        </w:rPr>
        <w:t xml:space="preserve"> тыс. рублей</w:t>
      </w:r>
      <w:r w:rsidRPr="009C087B">
        <w:rPr>
          <w:color w:val="000000"/>
        </w:rPr>
        <w:t>, окружной бюджет 10</w:t>
      </w:r>
      <w:r w:rsidR="00DC2D1C">
        <w:rPr>
          <w:color w:val="000000"/>
        </w:rPr>
        <w:t xml:space="preserve"> </w:t>
      </w:r>
      <w:r w:rsidRPr="009C087B">
        <w:rPr>
          <w:color w:val="000000"/>
        </w:rPr>
        <w:t>111,689</w:t>
      </w:r>
      <w:r w:rsidRPr="009C087B">
        <w:rPr>
          <w:bCs/>
          <w:color w:val="000000"/>
        </w:rPr>
        <w:t xml:space="preserve"> тыс. руб</w:t>
      </w:r>
      <w:r w:rsidR="00DC2D1C">
        <w:rPr>
          <w:bCs/>
          <w:color w:val="000000"/>
        </w:rPr>
        <w:t>лей</w:t>
      </w:r>
      <w:r w:rsidRPr="009C087B">
        <w:rPr>
          <w:color w:val="000000"/>
        </w:rPr>
        <w:t xml:space="preserve">, бюджет района </w:t>
      </w:r>
      <w:r w:rsidR="00DC2D1C">
        <w:rPr>
          <w:color w:val="000000"/>
        </w:rPr>
        <w:t>–</w:t>
      </w:r>
      <w:r w:rsidRPr="009C087B">
        <w:rPr>
          <w:color w:val="000000"/>
        </w:rPr>
        <w:t xml:space="preserve"> 7</w:t>
      </w:r>
      <w:r w:rsidR="00DC2D1C">
        <w:rPr>
          <w:color w:val="000000"/>
        </w:rPr>
        <w:t xml:space="preserve"> </w:t>
      </w:r>
      <w:r w:rsidRPr="009C087B">
        <w:rPr>
          <w:color w:val="000000"/>
        </w:rPr>
        <w:t>200,000</w:t>
      </w:r>
      <w:r w:rsidRPr="009C087B">
        <w:rPr>
          <w:bCs/>
          <w:color w:val="000000"/>
        </w:rPr>
        <w:t xml:space="preserve"> тыс. руб</w:t>
      </w:r>
      <w:r w:rsidR="00DC2D1C">
        <w:rPr>
          <w:bCs/>
          <w:color w:val="000000"/>
        </w:rPr>
        <w:t>лей</w:t>
      </w:r>
      <w:r w:rsidRPr="009C087B">
        <w:rPr>
          <w:bCs/>
          <w:color w:val="000000"/>
        </w:rPr>
        <w:t>);</w:t>
      </w:r>
    </w:p>
    <w:p w:rsidR="005E39EA" w:rsidRPr="00517FFC" w:rsidRDefault="005E39EA" w:rsidP="00FC0080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9C087B">
        <w:rPr>
          <w:bCs/>
          <w:color w:val="000000"/>
        </w:rPr>
        <w:t xml:space="preserve">по программе комплексного развития АПК было выделено </w:t>
      </w:r>
      <w:r w:rsidR="00DC2D1C">
        <w:rPr>
          <w:rFonts w:eastAsia="Calibri"/>
        </w:rPr>
        <w:t>150 269,2</w:t>
      </w:r>
      <w:r w:rsidRPr="009C087B">
        <w:rPr>
          <w:rFonts w:eastAsia="Calibri"/>
        </w:rPr>
        <w:t xml:space="preserve"> </w:t>
      </w:r>
      <w:r w:rsidRPr="009C087B">
        <w:rPr>
          <w:bCs/>
          <w:color w:val="000000"/>
        </w:rPr>
        <w:t>тыс. руб</w:t>
      </w:r>
      <w:r w:rsidR="00DC2D1C">
        <w:rPr>
          <w:bCs/>
          <w:color w:val="000000"/>
        </w:rPr>
        <w:t>лей</w:t>
      </w:r>
      <w:r w:rsidRPr="009C087B">
        <w:rPr>
          <w:bCs/>
          <w:color w:val="000000"/>
        </w:rPr>
        <w:t xml:space="preserve"> (</w:t>
      </w:r>
      <w:r w:rsidRPr="009C087B">
        <w:rPr>
          <w:color w:val="000000"/>
        </w:rPr>
        <w:t xml:space="preserve">окружной бюджет - </w:t>
      </w:r>
      <w:r w:rsidRPr="009C087B">
        <w:rPr>
          <w:rFonts w:eastAsia="Calibri"/>
        </w:rPr>
        <w:t>133 769,2</w:t>
      </w:r>
      <w:r w:rsidRPr="009C087B">
        <w:rPr>
          <w:bCs/>
          <w:color w:val="000000"/>
        </w:rPr>
        <w:t xml:space="preserve"> тыс. руб</w:t>
      </w:r>
      <w:r w:rsidR="00DC2D1C">
        <w:rPr>
          <w:bCs/>
          <w:color w:val="000000"/>
        </w:rPr>
        <w:t>лей</w:t>
      </w:r>
      <w:r w:rsidRPr="009C087B">
        <w:rPr>
          <w:color w:val="000000"/>
        </w:rPr>
        <w:t xml:space="preserve">, бюджет района - </w:t>
      </w:r>
      <w:r w:rsidRPr="009C087B">
        <w:rPr>
          <w:rFonts w:eastAsia="Calibri"/>
        </w:rPr>
        <w:t>16 500,0</w:t>
      </w:r>
      <w:r w:rsidR="00DC2D1C">
        <w:rPr>
          <w:bCs/>
          <w:color w:val="000000"/>
        </w:rPr>
        <w:t xml:space="preserve"> тыс. рублей</w:t>
      </w:r>
      <w:r w:rsidR="009D35A9">
        <w:rPr>
          <w:bCs/>
          <w:color w:val="000000"/>
        </w:rPr>
        <w:t>), в</w:t>
      </w:r>
      <w:r w:rsidRPr="009C087B">
        <w:rPr>
          <w:bCs/>
          <w:color w:val="000000"/>
        </w:rPr>
        <w:t xml:space="preserve"> результате </w:t>
      </w:r>
      <w:r w:rsidR="009D35A9">
        <w:rPr>
          <w:bCs/>
          <w:color w:val="000000"/>
        </w:rPr>
        <w:t xml:space="preserve">оказанных поддержек </w:t>
      </w:r>
      <w:r w:rsidRPr="009C087B">
        <w:rPr>
          <w:b/>
          <w:i/>
        </w:rPr>
        <w:t>производство мяса</w:t>
      </w:r>
      <w:r w:rsidRPr="009C087B">
        <w:t xml:space="preserve"> увеличилось на </w:t>
      </w:r>
      <w:r w:rsidR="004657BB">
        <w:t>32,8</w:t>
      </w:r>
      <w:r w:rsidRPr="009C087B">
        <w:t xml:space="preserve">% к уровню 2011 года, </w:t>
      </w:r>
      <w:r w:rsidRPr="009C087B">
        <w:rPr>
          <w:b/>
          <w:i/>
        </w:rPr>
        <w:t>молока</w:t>
      </w:r>
      <w:r w:rsidR="004657BB">
        <w:t xml:space="preserve"> увеличилось на 6</w:t>
      </w:r>
      <w:r w:rsidRPr="009C087B">
        <w:t xml:space="preserve">,5%, </w:t>
      </w:r>
      <w:r>
        <w:t>но</w:t>
      </w:r>
      <w:r w:rsidRPr="009C087B">
        <w:t xml:space="preserve"> по уровню безработицы Ханты-Мансийский район остаётся на 18 месте среди 22 муниципальных образований округа.</w:t>
      </w:r>
      <w:proofErr w:type="gramEnd"/>
    </w:p>
    <w:p w:rsidR="005E39EA" w:rsidRPr="00517FFC" w:rsidRDefault="005E39EA" w:rsidP="00FC008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517FFC">
        <w:t xml:space="preserve">В рамках реализации долгосрочной муниципальной целевой программы «Развитие и модернизация жилищно-коммунального комплекса Ханты-Мансийского района на 2011 – 2015 годы» в 2012 году было израсходовано </w:t>
      </w:r>
      <w:r w:rsidRPr="00517FFC">
        <w:rPr>
          <w:bCs/>
          <w:color w:val="000000"/>
        </w:rPr>
        <w:t>164 532,6 тыс. руб., при этом из бюджета района 101 584,7 тыс. руб., из бюджета автономного округа 62 872,5 тыс. руб. Как видно в объёмах расходов денежных средств из различных уровней бюджетной системы имеется явный дисбаланс.</w:t>
      </w:r>
      <w:proofErr w:type="gramEnd"/>
    </w:p>
    <w:p w:rsidR="005E39EA" w:rsidRPr="00517FFC" w:rsidRDefault="005E39EA" w:rsidP="00FC0080">
      <w:pPr>
        <w:pStyle w:val="a3"/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</w:p>
    <w:p w:rsidR="005E39EA" w:rsidRPr="00517FFC" w:rsidRDefault="005E39EA" w:rsidP="00FC0080">
      <w:pPr>
        <w:pStyle w:val="a3"/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С учётом изложенного предлагаю в 2013 году направить усилия всех органов местного самоуправления на решение следующих задач:</w:t>
      </w:r>
    </w:p>
    <w:p w:rsidR="005E39EA" w:rsidRPr="00517FFC" w:rsidRDefault="005E39EA" w:rsidP="00FC00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Решение проблемы чистой питьевой воды на основании комплексного плана мероприятий, охватывающего, в том числе решение этой проблемы в социальных учреждениях;</w:t>
      </w:r>
    </w:p>
    <w:p w:rsidR="005E39EA" w:rsidRPr="00517FFC" w:rsidRDefault="005E39EA" w:rsidP="00FC00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lastRenderedPageBreak/>
        <w:t xml:space="preserve">Добиться поставленной Губернатором </w:t>
      </w:r>
      <w:r>
        <w:rPr>
          <w:rFonts w:eastAsia="Times New Roman"/>
          <w:lang w:eastAsia="ru-RU"/>
        </w:rPr>
        <w:t xml:space="preserve">Югры </w:t>
      </w:r>
      <w:r w:rsidRPr="00517FFC">
        <w:rPr>
          <w:rFonts w:eastAsia="Times New Roman"/>
          <w:lang w:eastAsia="ru-RU"/>
        </w:rPr>
        <w:t xml:space="preserve">задачи </w:t>
      </w:r>
      <w:r>
        <w:rPr>
          <w:rFonts w:eastAsia="Times New Roman"/>
          <w:lang w:eastAsia="ru-RU"/>
        </w:rPr>
        <w:t xml:space="preserve">ввода в районе </w:t>
      </w:r>
      <w:r w:rsidRPr="00517FFC">
        <w:rPr>
          <w:rFonts w:eastAsia="Times New Roman"/>
          <w:lang w:eastAsia="ru-RU"/>
        </w:rPr>
        <w:t xml:space="preserve">20 тыс. кв. м. жилья в год. Обеспечить </w:t>
      </w:r>
      <w:proofErr w:type="gramStart"/>
      <w:r w:rsidRPr="00517FFC">
        <w:rPr>
          <w:rFonts w:eastAsia="Times New Roman"/>
          <w:lang w:eastAsia="ru-RU"/>
        </w:rPr>
        <w:t>контроль за</w:t>
      </w:r>
      <w:proofErr w:type="gramEnd"/>
      <w:r w:rsidRPr="00517FFC">
        <w:rPr>
          <w:rFonts w:eastAsia="Times New Roman"/>
          <w:lang w:eastAsia="ru-RU"/>
        </w:rPr>
        <w:t xml:space="preserve"> ходом строительства жилья и его качеством.</w:t>
      </w:r>
    </w:p>
    <w:p w:rsidR="005E39EA" w:rsidRPr="00517FFC" w:rsidRDefault="005E39EA" w:rsidP="00FC00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С учётом выделяемых денежных средств, организовать более эффективную работу по созданию на территории района новых рабочих мест, с целью сокращения негативных миграционных процессов, закреплению молодёжи на селе, прежде всего за счёт более динамичного развития агропромышленного комплекса.</w:t>
      </w:r>
    </w:p>
    <w:p w:rsidR="005E39EA" w:rsidRPr="00517FFC" w:rsidRDefault="005E39EA" w:rsidP="00FC00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Включить в оценку эффективности работы органов администрации Ханты-Мансийского района одним из показателей - привлечение средств бюджета округа и Российской Федерации, освоение этих средств и объём возвращённых не использованных средств.</w:t>
      </w:r>
    </w:p>
    <w:p w:rsidR="009C7782" w:rsidRDefault="009C7782" w:rsidP="00FC0080"/>
    <w:sectPr w:rsidR="009C7782" w:rsidSect="000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A1B"/>
    <w:multiLevelType w:val="hybridMultilevel"/>
    <w:tmpl w:val="1E24C638"/>
    <w:lvl w:ilvl="0" w:tplc="8A8E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160A9"/>
    <w:multiLevelType w:val="hybridMultilevel"/>
    <w:tmpl w:val="689C80EC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C13526"/>
    <w:multiLevelType w:val="hybridMultilevel"/>
    <w:tmpl w:val="5A5A8B4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B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1D09EF"/>
    <w:rsid w:val="00201376"/>
    <w:rsid w:val="00210C5D"/>
    <w:rsid w:val="002179E9"/>
    <w:rsid w:val="002250DB"/>
    <w:rsid w:val="00230EA0"/>
    <w:rsid w:val="002570DD"/>
    <w:rsid w:val="00267B52"/>
    <w:rsid w:val="00276C43"/>
    <w:rsid w:val="00297A80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657BB"/>
    <w:rsid w:val="0048003C"/>
    <w:rsid w:val="004D3267"/>
    <w:rsid w:val="004F74F4"/>
    <w:rsid w:val="00507F1E"/>
    <w:rsid w:val="00584754"/>
    <w:rsid w:val="005919E0"/>
    <w:rsid w:val="005C5253"/>
    <w:rsid w:val="005E39EA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523B"/>
    <w:rsid w:val="00927761"/>
    <w:rsid w:val="00936DED"/>
    <w:rsid w:val="009402F1"/>
    <w:rsid w:val="00966A91"/>
    <w:rsid w:val="009932FF"/>
    <w:rsid w:val="009B579B"/>
    <w:rsid w:val="009C7782"/>
    <w:rsid w:val="009D35A9"/>
    <w:rsid w:val="009E2019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85BC7"/>
    <w:rsid w:val="00BE1CD3"/>
    <w:rsid w:val="00BE78CB"/>
    <w:rsid w:val="00BF68C0"/>
    <w:rsid w:val="00C12EE9"/>
    <w:rsid w:val="00C14C20"/>
    <w:rsid w:val="00C31850"/>
    <w:rsid w:val="00C35882"/>
    <w:rsid w:val="00C70F5F"/>
    <w:rsid w:val="00C91F1F"/>
    <w:rsid w:val="00C93F03"/>
    <w:rsid w:val="00C9765B"/>
    <w:rsid w:val="00CB7EE6"/>
    <w:rsid w:val="00CE4F54"/>
    <w:rsid w:val="00CF3FC1"/>
    <w:rsid w:val="00D04F21"/>
    <w:rsid w:val="00D33EE5"/>
    <w:rsid w:val="00D442E4"/>
    <w:rsid w:val="00DC2D1C"/>
    <w:rsid w:val="00DD0370"/>
    <w:rsid w:val="00DE615F"/>
    <w:rsid w:val="00E10F5D"/>
    <w:rsid w:val="00E26666"/>
    <w:rsid w:val="00E302CB"/>
    <w:rsid w:val="00E67E7D"/>
    <w:rsid w:val="00E94DDA"/>
    <w:rsid w:val="00EB7B46"/>
    <w:rsid w:val="00ED0C5A"/>
    <w:rsid w:val="00F00376"/>
    <w:rsid w:val="00F12830"/>
    <w:rsid w:val="00F50EE7"/>
    <w:rsid w:val="00F52E88"/>
    <w:rsid w:val="00F72834"/>
    <w:rsid w:val="00F752B1"/>
    <w:rsid w:val="00F81B7A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99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E39EA"/>
  </w:style>
  <w:style w:type="character" w:styleId="a6">
    <w:name w:val="Hyperlink"/>
    <w:basedOn w:val="a0"/>
    <w:uiPriority w:val="99"/>
    <w:semiHidden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99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E39EA"/>
  </w:style>
  <w:style w:type="character" w:styleId="a6">
    <w:name w:val="Hyperlink"/>
    <w:basedOn w:val="a0"/>
    <w:uiPriority w:val="99"/>
    <w:semiHidden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hmao.ru/deputies/V/andreev/" TargetMode="External"/><Relationship Id="rId13" Type="http://schemas.openxmlformats.org/officeDocument/2006/relationships/hyperlink" Target="http://www.dumahmao.ru/deputies/V/sond/" TargetMode="External"/><Relationship Id="rId18" Type="http://schemas.openxmlformats.org/officeDocument/2006/relationships/hyperlink" Target="consultantplus://offline/ref=BE619D06828CC0FC35AC6573A1EEB1555708CC2BD7E7127D41383BF9A4BDQ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umahmao.ru/deputies/V/alekseevang/" TargetMode="External"/><Relationship Id="rId12" Type="http://schemas.openxmlformats.org/officeDocument/2006/relationships/hyperlink" Target="http://www.dumahmao.ru/deputies/V/mizgulin/" TargetMode="External"/><Relationship Id="rId17" Type="http://schemas.openxmlformats.org/officeDocument/2006/relationships/hyperlink" Target="consultantplus://offline/ref=BE619D06828CC0FC35AC6573A1EEB1555708CF2CDDE4127D41383BF9A4BDQ2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72.ru/ru/structure/deputats/1414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hmao.ru/deputies/V/zapadnovan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72.ru/ru/structure/deputats/14169/" TargetMode="External"/><Relationship Id="rId10" Type="http://schemas.openxmlformats.org/officeDocument/2006/relationships/hyperlink" Target="http://www.dumahmao.ru/deputies/V/DegtyarevSU/" TargetMode="External"/><Relationship Id="rId19" Type="http://schemas.openxmlformats.org/officeDocument/2006/relationships/hyperlink" Target="http://hmrn.ru/raion/ekonomika/socio_economic_programm/programms/post171-zkh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hmao.ru/deputies/V/gogoleva/" TargetMode="External"/><Relationship Id="rId14" Type="http://schemas.openxmlformats.org/officeDocument/2006/relationships/hyperlink" Target="http://www.dumahmao.ru/deputies/V/mailhohryakov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3B11-7025-44A4-90B8-7B4501E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Макарова С.Ю.</cp:lastModifiedBy>
  <cp:revision>12</cp:revision>
  <dcterms:created xsi:type="dcterms:W3CDTF">2013-03-22T10:11:00Z</dcterms:created>
  <dcterms:modified xsi:type="dcterms:W3CDTF">2013-04-03T04:13:00Z</dcterms:modified>
</cp:coreProperties>
</file>